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E7A74" w14:textId="77777777" w:rsidR="009F3CD4" w:rsidRPr="004242D7" w:rsidRDefault="009F3CD4" w:rsidP="009F3CD4">
      <w:pPr>
        <w:spacing w:line="360" w:lineRule="auto"/>
        <w:jc w:val="both"/>
        <w:rPr>
          <w:b/>
          <w:bCs/>
        </w:rPr>
      </w:pPr>
      <w:r w:rsidRPr="004242D7">
        <w:rPr>
          <w:b/>
          <w:bCs/>
        </w:rPr>
        <w:t xml:space="preserve">Desatero screeningu sluchu novorozenců </w:t>
      </w:r>
    </w:p>
    <w:p w14:paraId="10AFD597" w14:textId="7361E979" w:rsidR="003E3EA3" w:rsidRDefault="009F3CD4" w:rsidP="003E3EA3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Screening sluchu</w:t>
      </w:r>
      <w:r w:rsidR="003E3EA3">
        <w:t xml:space="preserve"> provádí </w:t>
      </w:r>
      <w:r w:rsidR="00904148">
        <w:t xml:space="preserve">sestra </w:t>
      </w:r>
      <w:r w:rsidR="00766BD3">
        <w:t>neonatologick</w:t>
      </w:r>
      <w:r w:rsidR="00BB3E54">
        <w:t>ého</w:t>
      </w:r>
      <w:r w:rsidR="00766BD3">
        <w:t xml:space="preserve"> nebo perinatologického centra </w:t>
      </w:r>
      <w:r w:rsidR="007A4C25">
        <w:t>nejlépe 2.–3. den po narození</w:t>
      </w:r>
      <w:r w:rsidR="007715EA">
        <w:t>:</w:t>
      </w:r>
    </w:p>
    <w:p w14:paraId="5E66048C" w14:textId="73A62854" w:rsidR="006A044E" w:rsidRDefault="007715EA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u</w:t>
      </w:r>
      <w:r w:rsidR="007A4C25">
        <w:t xml:space="preserve"> fyziologického novorozence</w:t>
      </w:r>
      <w:r w:rsidR="006A044E">
        <w:t xml:space="preserve"> </w:t>
      </w:r>
      <w:r w:rsidR="004351D2">
        <w:t xml:space="preserve">je prováděno vyšetření </w:t>
      </w:r>
      <w:r w:rsidR="009F3CD4">
        <w:t>otoakustických emisí (TEOAE</w:t>
      </w:r>
      <w:r w:rsidR="00380E5C">
        <w:t>, kód 73028</w:t>
      </w:r>
      <w:r w:rsidR="009F3CD4">
        <w:t xml:space="preserve">); </w:t>
      </w:r>
    </w:p>
    <w:p w14:paraId="1DD219B5" w14:textId="60AB1F96" w:rsidR="00380E5C" w:rsidRDefault="007715EA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u</w:t>
      </w:r>
      <w:r w:rsidR="009F3CD4">
        <w:t xml:space="preserve"> </w:t>
      </w:r>
      <w:r w:rsidR="00904148">
        <w:t xml:space="preserve">rizikového </w:t>
      </w:r>
      <w:r w:rsidR="009F3CD4">
        <w:t>novorozence</w:t>
      </w:r>
      <w:r w:rsidR="006A044E">
        <w:t xml:space="preserve"> hospitalizovaného </w:t>
      </w:r>
      <w:r w:rsidR="00904148">
        <w:t>na</w:t>
      </w:r>
      <w:r w:rsidR="004351D2">
        <w:t xml:space="preserve"> lůžku intenzivní nebo intermediální péče </w:t>
      </w:r>
      <w:r w:rsidR="00904148">
        <w:t xml:space="preserve">se </w:t>
      </w:r>
      <w:r w:rsidR="006A044E">
        <w:t xml:space="preserve">provádí </w:t>
      </w:r>
      <w:r w:rsidR="004351D2">
        <w:t xml:space="preserve">vyšetření </w:t>
      </w:r>
      <w:r w:rsidR="009F3CD4">
        <w:t>pomocí screeningových sluchových evokovaných kmenových potenciálů (AABR</w:t>
      </w:r>
      <w:r w:rsidR="00380E5C">
        <w:t>, kód 71035)</w:t>
      </w:r>
      <w:r w:rsidR="009F3CD4">
        <w:t>.</w:t>
      </w:r>
      <w:r w:rsidR="00904148">
        <w:t xml:space="preserve"> </w:t>
      </w:r>
    </w:p>
    <w:p w14:paraId="7DB588B4" w14:textId="1FAFAB04" w:rsidR="000F63A2" w:rsidRDefault="00A42F8B" w:rsidP="009F3CD4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Výsledek </w:t>
      </w:r>
      <w:r w:rsidR="003E3EA3">
        <w:t xml:space="preserve">screeningu sluchu </w:t>
      </w:r>
      <w:r w:rsidR="000F63A2">
        <w:t>je zapsán do Zprávy o novorozenci (elektronicky):</w:t>
      </w:r>
    </w:p>
    <w:p w14:paraId="22A2201E" w14:textId="044D6DFE" w:rsidR="000F63A2" w:rsidRDefault="007715EA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n</w:t>
      </w:r>
      <w:r w:rsidR="000F63A2">
        <w:t xml:space="preserve">ormální </w:t>
      </w:r>
      <w:r w:rsidR="00904148">
        <w:t xml:space="preserve">fyziologický </w:t>
      </w:r>
      <w:r w:rsidR="00FC728C">
        <w:t xml:space="preserve">výsledek, </w:t>
      </w:r>
      <w:r w:rsidR="000F63A2">
        <w:t xml:space="preserve">tj. </w:t>
      </w:r>
      <w:r w:rsidR="00022815">
        <w:t>TEOAE či AABR jsou oboustranně výbavné</w:t>
      </w:r>
      <w:r w:rsidR="000F63A2">
        <w:t xml:space="preserve"> = negativní screening sluchu</w:t>
      </w:r>
      <w:r>
        <w:t>,</w:t>
      </w:r>
      <w:r w:rsidR="000F63A2">
        <w:t xml:space="preserve"> </w:t>
      </w:r>
      <w:r w:rsidR="007661BE">
        <w:t xml:space="preserve">dítě není </w:t>
      </w:r>
      <w:r w:rsidR="000F63A2">
        <w:t>třeba</w:t>
      </w:r>
      <w:r w:rsidR="007661BE">
        <w:t xml:space="preserve"> </w:t>
      </w:r>
      <w:r w:rsidR="000F63A2">
        <w:t>dále sledovat</w:t>
      </w:r>
      <w:r w:rsidR="00BB3E54">
        <w:t>;</w:t>
      </w:r>
      <w:r w:rsidR="007661BE">
        <w:t xml:space="preserve"> </w:t>
      </w:r>
    </w:p>
    <w:p w14:paraId="21CB3518" w14:textId="29816EE2" w:rsidR="00380E5C" w:rsidRDefault="00BB3E54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a</w:t>
      </w:r>
      <w:r w:rsidR="000F63A2">
        <w:t>bnormální výsledek</w:t>
      </w:r>
      <w:r w:rsidR="00904148">
        <w:t>,</w:t>
      </w:r>
      <w:r w:rsidR="000F63A2">
        <w:t xml:space="preserve"> </w:t>
      </w:r>
      <w:r w:rsidR="007661BE">
        <w:t>vyšetření není kompletně v</w:t>
      </w:r>
      <w:r w:rsidR="000F63A2">
        <w:t> </w:t>
      </w:r>
      <w:r w:rsidR="007661BE">
        <w:t>normě</w:t>
      </w:r>
      <w:r w:rsidR="000F63A2">
        <w:t xml:space="preserve">, tj. </w:t>
      </w:r>
      <w:r w:rsidR="009F3CD4">
        <w:t xml:space="preserve">TEOAE nebo AABR </w:t>
      </w:r>
      <w:r w:rsidR="007715EA">
        <w:t>jedno-</w:t>
      </w:r>
      <w:r w:rsidR="009F3CD4">
        <w:t xml:space="preserve"> nebo oboustranně</w:t>
      </w:r>
      <w:r w:rsidR="007661BE">
        <w:t xml:space="preserve"> </w:t>
      </w:r>
      <w:r w:rsidR="00022815">
        <w:t>nepřítomny či nebylo provedeno</w:t>
      </w:r>
      <w:r w:rsidR="000F63A2">
        <w:t xml:space="preserve"> = pozitivní screening sluchu (</w:t>
      </w:r>
      <w:r w:rsidR="007661BE">
        <w:t xml:space="preserve">nelze oboustranně </w:t>
      </w:r>
      <w:r w:rsidR="00022815">
        <w:t xml:space="preserve">potvrdit </w:t>
      </w:r>
      <w:r w:rsidR="007661BE">
        <w:t>normální sluch</w:t>
      </w:r>
      <w:r w:rsidR="007A4C25">
        <w:t>)</w:t>
      </w:r>
      <w:r w:rsidR="009F3CD4">
        <w:t xml:space="preserve">. </w:t>
      </w:r>
    </w:p>
    <w:p w14:paraId="740C17D3" w14:textId="4C3C6410" w:rsidR="00904148" w:rsidRDefault="009F3CD4" w:rsidP="00184936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Novorozen</w:t>
      </w:r>
      <w:r w:rsidR="000F63A2">
        <w:t>e</w:t>
      </w:r>
      <w:r w:rsidR="00022815">
        <w:t>c</w:t>
      </w:r>
      <w:r>
        <w:t xml:space="preserve"> </w:t>
      </w:r>
      <w:r w:rsidR="00022815">
        <w:t xml:space="preserve">s pozitivním či neproběhlým screeningem </w:t>
      </w:r>
      <w:r>
        <w:t xml:space="preserve">sluchu </w:t>
      </w:r>
      <w:r w:rsidR="000F63A2">
        <w:t xml:space="preserve">je doporučen z </w:t>
      </w:r>
      <w:r>
        <w:t>neonatologické</w:t>
      </w:r>
      <w:r w:rsidR="000F63A2">
        <w:t>ho</w:t>
      </w:r>
      <w:r>
        <w:t xml:space="preserve"> oddělení na ORL/foniatrické pracoviště</w:t>
      </w:r>
      <w:r w:rsidR="00DE1E1E">
        <w:t xml:space="preserve"> </w:t>
      </w:r>
      <w:r w:rsidR="00F6738A">
        <w:t>k</w:t>
      </w:r>
      <w:r>
        <w:t xml:space="preserve"> rescreening</w:t>
      </w:r>
      <w:r w:rsidR="00F6738A">
        <w:t>u</w:t>
      </w:r>
      <w:r>
        <w:t xml:space="preserve"> sluchu</w:t>
      </w:r>
      <w:r w:rsidR="006A044E">
        <w:t xml:space="preserve"> nejpozději do 6 týdnů věku dítěte</w:t>
      </w:r>
      <w:r w:rsidR="00DE1E1E">
        <w:t xml:space="preserve">. </w:t>
      </w:r>
    </w:p>
    <w:p w14:paraId="2B00F9CA" w14:textId="06EF0A5B" w:rsidR="00003B74" w:rsidRDefault="00B04E82" w:rsidP="00B04E82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Obsahem </w:t>
      </w:r>
      <w:r w:rsidR="003E3EA3">
        <w:t xml:space="preserve">rescreeningu sluchu </w:t>
      </w:r>
      <w:r>
        <w:t xml:space="preserve">je </w:t>
      </w:r>
      <w:r w:rsidR="009F3CD4">
        <w:t>anamnéz</w:t>
      </w:r>
      <w:r>
        <w:t>a</w:t>
      </w:r>
      <w:r w:rsidR="009F3CD4">
        <w:t>, otoskopi</w:t>
      </w:r>
      <w:r>
        <w:t>e</w:t>
      </w:r>
      <w:r w:rsidR="009F3CD4">
        <w:t xml:space="preserve"> a ověření sluchu metodou objektivní audiometrie</w:t>
      </w:r>
      <w:r w:rsidR="007715EA">
        <w:t>:</w:t>
      </w:r>
    </w:p>
    <w:p w14:paraId="4F4D92A6" w14:textId="1B6CE907" w:rsidR="00003B74" w:rsidRDefault="007715EA" w:rsidP="00003B74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f</w:t>
      </w:r>
      <w:r w:rsidR="00003B74">
        <w:t>yziologický novorozenec</w:t>
      </w:r>
      <w:r w:rsidR="004351D2">
        <w:t xml:space="preserve"> – vyšetření </w:t>
      </w:r>
      <w:r w:rsidR="00003B74">
        <w:t>metodou TEOAE nebo AABR;</w:t>
      </w:r>
    </w:p>
    <w:p w14:paraId="0211ADAC" w14:textId="1BAF444E" w:rsidR="00003B74" w:rsidRDefault="007715EA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r</w:t>
      </w:r>
      <w:r w:rsidR="00003B74">
        <w:t>izikový novorozenec</w:t>
      </w:r>
      <w:r w:rsidR="004351D2">
        <w:t xml:space="preserve"> – vyšetření </w:t>
      </w:r>
      <w:r w:rsidR="00003B74">
        <w:t xml:space="preserve">metodou </w:t>
      </w:r>
      <w:r w:rsidR="009F3CD4">
        <w:t>AABR</w:t>
      </w:r>
      <w:r w:rsidR="00A6514E">
        <w:t>;</w:t>
      </w:r>
    </w:p>
    <w:p w14:paraId="38B3BAB3" w14:textId="79B4A006" w:rsidR="00380E5C" w:rsidRDefault="007715EA" w:rsidP="0068142B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>v</w:t>
      </w:r>
      <w:r w:rsidR="00A42F8B">
        <w:t xml:space="preserve">ýsledek </w:t>
      </w:r>
      <w:r w:rsidR="00B04E82">
        <w:t>rescreeningu sluchu vykázán kódy: u TEOAE 73029; u AABR 71036</w:t>
      </w:r>
      <w:r w:rsidR="001765AF">
        <w:t>;</w:t>
      </w:r>
      <w:r>
        <w:t xml:space="preserve"> </w:t>
      </w:r>
      <w:r w:rsidR="00380E5C">
        <w:t>signální</w:t>
      </w:r>
      <w:r>
        <w:t xml:space="preserve"> kódy</w:t>
      </w:r>
      <w:r w:rsidR="00380E5C">
        <w:t xml:space="preserve">: </w:t>
      </w:r>
      <w:r w:rsidR="00380E5C" w:rsidRPr="00380E5C">
        <w:t>71031 pravé ucho slyší</w:t>
      </w:r>
      <w:r w:rsidR="00380E5C">
        <w:t xml:space="preserve"> (</w:t>
      </w:r>
      <w:r w:rsidR="00380E5C" w:rsidRPr="00380E5C">
        <w:t>rescreening negativní</w:t>
      </w:r>
      <w:r w:rsidR="00380E5C">
        <w:t>)</w:t>
      </w:r>
      <w:r w:rsidR="001B3688">
        <w:t xml:space="preserve">, </w:t>
      </w:r>
      <w:r w:rsidR="00380E5C" w:rsidRPr="00380E5C">
        <w:t>71032 pravé ucho nedoslýchavost</w:t>
      </w:r>
      <w:r w:rsidR="001B3688">
        <w:t xml:space="preserve"> (</w:t>
      </w:r>
      <w:r w:rsidR="00380E5C" w:rsidRPr="00380E5C">
        <w:t>rescreening pozitivní</w:t>
      </w:r>
      <w:r w:rsidR="001B3688">
        <w:t xml:space="preserve">), </w:t>
      </w:r>
      <w:r w:rsidR="00380E5C" w:rsidRPr="00380E5C">
        <w:t xml:space="preserve">71033 levé ucho slyší </w:t>
      </w:r>
      <w:r w:rsidR="001B3688">
        <w:t>(</w:t>
      </w:r>
      <w:r w:rsidR="00380E5C" w:rsidRPr="00380E5C">
        <w:t>rescreening negativní</w:t>
      </w:r>
      <w:r w:rsidR="001B3688">
        <w:t xml:space="preserve">), </w:t>
      </w:r>
      <w:r w:rsidR="00380E5C" w:rsidRPr="00380E5C">
        <w:t xml:space="preserve">71034 levé ucho nedoslýchavost </w:t>
      </w:r>
      <w:r w:rsidR="001B3688">
        <w:t>(</w:t>
      </w:r>
      <w:r w:rsidR="00380E5C" w:rsidRPr="00380E5C">
        <w:t>rescreening pozitivní</w:t>
      </w:r>
      <w:r w:rsidR="001B3688">
        <w:t>).</w:t>
      </w:r>
    </w:p>
    <w:p w14:paraId="612C8749" w14:textId="6ACF9A2C" w:rsidR="00766BD3" w:rsidRDefault="00A6514E" w:rsidP="00766BD3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Výsledek screeningového/rescreeningového vyšetření </w:t>
      </w:r>
      <w:r w:rsidR="00766BD3" w:rsidRPr="0098452F">
        <w:t>eviduje registrující praktický lékař pro děti a dorost (PLDD).</w:t>
      </w:r>
    </w:p>
    <w:p w14:paraId="46457091" w14:textId="0A765105" w:rsidR="001B3688" w:rsidRDefault="009F3CD4" w:rsidP="009F3CD4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Dítě s pozitivním rescreeningem (jedno- či </w:t>
      </w:r>
      <w:r w:rsidR="00A6514E">
        <w:t>oboustranným</w:t>
      </w:r>
      <w:r w:rsidR="00BB3E54">
        <w:t xml:space="preserve"> </w:t>
      </w:r>
      <w:r>
        <w:t>či klinick</w:t>
      </w:r>
      <w:r w:rsidR="00B04E82">
        <w:t>ým</w:t>
      </w:r>
      <w:r>
        <w:t xml:space="preserve"> podezření</w:t>
      </w:r>
      <w:r w:rsidR="00B04E82">
        <w:t>m</w:t>
      </w:r>
      <w:r>
        <w:t xml:space="preserve"> na sluchovou poruchu </w:t>
      </w:r>
      <w:r w:rsidR="001765AF">
        <w:t xml:space="preserve">je odesláno </w:t>
      </w:r>
      <w:r>
        <w:t>do regionáln</w:t>
      </w:r>
      <w:r w:rsidR="00003B74">
        <w:t>ího</w:t>
      </w:r>
      <w:r>
        <w:t xml:space="preserve"> (krajského) </w:t>
      </w:r>
      <w:r w:rsidR="00380E5C">
        <w:t xml:space="preserve">pedaudiologického </w:t>
      </w:r>
      <w:r>
        <w:t>centra</w:t>
      </w:r>
      <w:r w:rsidR="001765AF">
        <w:t xml:space="preserve"> k dovyšetření nejpozději do 6 měsíců věku</w:t>
      </w:r>
      <w:r w:rsidR="00BB3E54">
        <w:t xml:space="preserve"> dítěte</w:t>
      </w:r>
      <w:r>
        <w:t xml:space="preserve">. </w:t>
      </w:r>
    </w:p>
    <w:p w14:paraId="52A52E13" w14:textId="11E5BE01" w:rsidR="000C2E8A" w:rsidRDefault="00FA5E0C" w:rsidP="00FA5E0C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>Pedaudiologické centrum</w:t>
      </w:r>
      <w:r w:rsidR="001765AF">
        <w:t xml:space="preserve"> provede co nejdříve </w:t>
      </w:r>
      <w:r w:rsidRPr="00DE1E1E">
        <w:t xml:space="preserve">komplexní audiologické </w:t>
      </w:r>
      <w:r w:rsidR="000C2E8A" w:rsidRPr="00DE1E1E">
        <w:t xml:space="preserve">vyšetření </w:t>
      </w:r>
      <w:r w:rsidRPr="00DE1E1E">
        <w:t>(určení typu a tíže sluchové vady)</w:t>
      </w:r>
      <w:r w:rsidR="000C2E8A" w:rsidRPr="00DE1E1E">
        <w:t>,</w:t>
      </w:r>
      <w:r w:rsidRPr="00DE1E1E">
        <w:t xml:space="preserve"> </w:t>
      </w:r>
      <w:r w:rsidR="000C2E8A" w:rsidRPr="00DE1E1E">
        <w:t>stanoví diagnózu a z</w:t>
      </w:r>
      <w:r w:rsidRPr="00DE1E1E">
        <w:t>ajišťuje</w:t>
      </w:r>
      <w:r>
        <w:t xml:space="preserve"> další postup: </w:t>
      </w:r>
    </w:p>
    <w:p w14:paraId="46FBFF9B" w14:textId="0D9FAD99" w:rsidR="000C2E8A" w:rsidRPr="00FC728C" w:rsidRDefault="00FA5E0C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lastRenderedPageBreak/>
        <w:t xml:space="preserve">oboustranně </w:t>
      </w:r>
      <w:r w:rsidR="003E3EA3">
        <w:t xml:space="preserve">bez </w:t>
      </w:r>
      <w:r>
        <w:t xml:space="preserve">trvalé poruchy sluchu (normální sluch, </w:t>
      </w:r>
      <w:r w:rsidRPr="00FC728C">
        <w:t>lehká porucha sluchu, jednostranná trvalá porucha sluchu</w:t>
      </w:r>
      <w:r w:rsidR="000C2E8A" w:rsidRPr="00FC728C">
        <w:t xml:space="preserve"> apod.</w:t>
      </w:r>
      <w:r w:rsidRPr="00FC728C">
        <w:t>)</w:t>
      </w:r>
      <w:r w:rsidR="000C2E8A" w:rsidRPr="00FC728C">
        <w:t>:</w:t>
      </w:r>
      <w:r w:rsidRPr="00FC728C">
        <w:t xml:space="preserve"> sledování </w:t>
      </w:r>
      <w:r w:rsidR="000C2E8A" w:rsidRPr="00FC728C">
        <w:t xml:space="preserve">sluchu a </w:t>
      </w:r>
      <w:r w:rsidRPr="00FC728C">
        <w:t>vývoje řeči praktickým lékařem pro děti a dorost nebo foniatrem</w:t>
      </w:r>
      <w:r w:rsidR="000C2E8A" w:rsidRPr="00FC728C">
        <w:t>;</w:t>
      </w:r>
    </w:p>
    <w:p w14:paraId="50566CC2" w14:textId="74C18764" w:rsidR="000C2E8A" w:rsidRPr="00FC728C" w:rsidRDefault="00FC728C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>
        <w:t xml:space="preserve">středně těžká nebo těžká </w:t>
      </w:r>
      <w:r w:rsidR="00FA5E0C" w:rsidRPr="00FC728C">
        <w:t>nedoslýchavost</w:t>
      </w:r>
      <w:r w:rsidR="000C2E8A" w:rsidRPr="00FC728C">
        <w:t xml:space="preserve">: </w:t>
      </w:r>
      <w:r w:rsidR="00FA5E0C" w:rsidRPr="00FC728C">
        <w:t xml:space="preserve">sluchadlovou korekci </w:t>
      </w:r>
      <w:r w:rsidR="000C2E8A" w:rsidRPr="00FC728C">
        <w:t>a další pedaudiologickou péči;</w:t>
      </w:r>
    </w:p>
    <w:p w14:paraId="42E9F5F6" w14:textId="77777777" w:rsidR="00F00F33" w:rsidRPr="00FC728C" w:rsidRDefault="00FA5E0C" w:rsidP="00DE1E1E">
      <w:pPr>
        <w:pStyle w:val="Odstavecseseznamem"/>
        <w:numPr>
          <w:ilvl w:val="1"/>
          <w:numId w:val="1"/>
        </w:numPr>
        <w:spacing w:line="360" w:lineRule="auto"/>
        <w:jc w:val="both"/>
      </w:pPr>
      <w:r w:rsidRPr="00FC728C">
        <w:t>hluchot</w:t>
      </w:r>
      <w:r w:rsidR="003E3EA3" w:rsidRPr="00FC728C">
        <w:t>a</w:t>
      </w:r>
      <w:r w:rsidR="000C2E8A" w:rsidRPr="00FC728C">
        <w:t xml:space="preserve">: bezodkladné zajištění sluchadly a předání do centra pro </w:t>
      </w:r>
      <w:r w:rsidRPr="00FC728C">
        <w:t>kochleární implantac</w:t>
      </w:r>
      <w:r w:rsidR="000C2E8A" w:rsidRPr="00FC728C">
        <w:t>i</w:t>
      </w:r>
      <w:r w:rsidRPr="00FC728C">
        <w:t xml:space="preserve">. </w:t>
      </w:r>
    </w:p>
    <w:p w14:paraId="35B51A22" w14:textId="77777777" w:rsidR="00FC728C" w:rsidRDefault="003E3EA3" w:rsidP="00FC728C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Výsledek vyšetření prahové objektivní audiometrie (BERA, SSEP apod.) vykázán kódem </w:t>
      </w:r>
      <w:r w:rsidR="001B3688">
        <w:t xml:space="preserve">BERA </w:t>
      </w:r>
      <w:r>
        <w:t>(</w:t>
      </w:r>
      <w:r w:rsidR="001B3688">
        <w:t>73023</w:t>
      </w:r>
      <w:r>
        <w:t>)</w:t>
      </w:r>
      <w:r w:rsidR="001B3688">
        <w:t xml:space="preserve"> a současně signální</w:t>
      </w:r>
      <w:r>
        <w:t>mi</w:t>
      </w:r>
      <w:r w:rsidR="001B3688">
        <w:t xml:space="preserve"> kódy</w:t>
      </w:r>
      <w:r>
        <w:t xml:space="preserve"> podobně jako u rescreeningu (</w:t>
      </w:r>
      <w:r w:rsidR="001B3688" w:rsidRPr="00380E5C">
        <w:t>71031 pravé ucho slyší</w:t>
      </w:r>
      <w:r w:rsidR="001B3688">
        <w:t xml:space="preserve">, </w:t>
      </w:r>
      <w:r w:rsidR="001B3688" w:rsidRPr="00380E5C">
        <w:t>71032 pravé ucho nedoslýchavost</w:t>
      </w:r>
      <w:r w:rsidR="001B3688">
        <w:t xml:space="preserve">, </w:t>
      </w:r>
      <w:r w:rsidR="001B3688" w:rsidRPr="00380E5C">
        <w:t>71033 levé ucho slyší</w:t>
      </w:r>
      <w:r w:rsidR="001B3688">
        <w:t xml:space="preserve">, </w:t>
      </w:r>
      <w:r w:rsidR="001B3688" w:rsidRPr="00380E5C">
        <w:t>71034 levé ucho nedoslýchavost</w:t>
      </w:r>
      <w:r w:rsidR="001B3688">
        <w:t>).</w:t>
      </w:r>
      <w:bookmarkStart w:id="0" w:name="_Hlk176104206"/>
      <w:r w:rsidR="00FC728C">
        <w:t xml:space="preserve"> </w:t>
      </w:r>
    </w:p>
    <w:p w14:paraId="2B047177" w14:textId="6587A41F" w:rsidR="00FC728C" w:rsidRDefault="00FC728C" w:rsidP="00FC728C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Pedaudiologické centrum (krajský koordinátor) metodicky řídí a dohlíží na fungování screeningového </w:t>
      </w:r>
      <w:r w:rsidR="00BB3E54">
        <w:t xml:space="preserve">programu </w:t>
      </w:r>
      <w:r>
        <w:t>v oblasti své působnosti.</w:t>
      </w:r>
    </w:p>
    <w:p w14:paraId="067DD0BE" w14:textId="643218CE" w:rsidR="001B3688" w:rsidRDefault="00BB3E54" w:rsidP="00FC728C">
      <w:pPr>
        <w:pStyle w:val="Odstavecseseznamem"/>
        <w:numPr>
          <w:ilvl w:val="0"/>
          <w:numId w:val="1"/>
        </w:numPr>
        <w:spacing w:line="360" w:lineRule="auto"/>
        <w:jc w:val="both"/>
      </w:pPr>
      <w:r>
        <w:t xml:space="preserve">Výsledky screeningu novorozenců jsou zpracovány </w:t>
      </w:r>
      <w:r w:rsidR="004351D2">
        <w:t>Národní</w:t>
      </w:r>
      <w:r>
        <w:t>m</w:t>
      </w:r>
      <w:r w:rsidR="004351D2">
        <w:t xml:space="preserve"> screeningov</w:t>
      </w:r>
      <w:r>
        <w:t>ým</w:t>
      </w:r>
      <w:r w:rsidR="004351D2">
        <w:t xml:space="preserve"> centr</w:t>
      </w:r>
      <w:r>
        <w:t>e</w:t>
      </w:r>
      <w:r w:rsidR="004351D2">
        <w:t xml:space="preserve">m </w:t>
      </w:r>
      <w:r>
        <w:t>z dat Národního zdravotnického informačního systému (konkrétně Národního registru reprodukčního zdraví a Národního registru hrazených zdravotních služeb). Výstupy jsou předávány</w:t>
      </w:r>
      <w:r w:rsidR="0008792A">
        <w:t xml:space="preserve"> </w:t>
      </w:r>
      <w:r w:rsidR="004351D2">
        <w:t>zástupc</w:t>
      </w:r>
      <w:r w:rsidR="0008792A">
        <w:t>ům</w:t>
      </w:r>
      <w:r w:rsidR="004351D2">
        <w:t xml:space="preserve"> odborných společností</w:t>
      </w:r>
      <w:r w:rsidR="0008792A">
        <w:t xml:space="preserve"> pro screening sluchu novorozenců</w:t>
      </w:r>
      <w:r w:rsidR="004351D2">
        <w:t xml:space="preserve"> nejméně </w:t>
      </w:r>
      <w:r w:rsidR="001D4F6C">
        <w:t>dvakrát</w:t>
      </w:r>
      <w:r w:rsidR="004351D2">
        <w:t xml:space="preserve"> ročně. </w:t>
      </w:r>
    </w:p>
    <w:p w14:paraId="5726B1BB" w14:textId="77777777" w:rsidR="00FC728C" w:rsidRDefault="00FC728C" w:rsidP="00FC728C">
      <w:pPr>
        <w:spacing w:line="360" w:lineRule="auto"/>
        <w:ind w:left="360"/>
        <w:jc w:val="both"/>
      </w:pPr>
    </w:p>
    <w:p w14:paraId="1BBB844A" w14:textId="33336E99" w:rsidR="009F3CD4" w:rsidRDefault="001B3688" w:rsidP="00FC728C">
      <w:pPr>
        <w:spacing w:line="360" w:lineRule="auto"/>
        <w:ind w:left="360"/>
        <w:jc w:val="both"/>
      </w:pPr>
      <w:r>
        <w:t xml:space="preserve">V případě dotazů kontaktujte </w:t>
      </w:r>
      <w:hyperlink r:id="rId5" w:history="1">
        <w:r w:rsidR="009F3CD4" w:rsidRPr="00CE2DF8">
          <w:rPr>
            <w:rStyle w:val="Hypertextovodkaz"/>
          </w:rPr>
          <w:t>screeningsluchu@fnhk.cz</w:t>
        </w:r>
      </w:hyperlink>
      <w:r w:rsidR="009F3CD4">
        <w:t xml:space="preserve"> </w:t>
      </w:r>
    </w:p>
    <w:bookmarkEnd w:id="0"/>
    <w:p w14:paraId="3E5810C0" w14:textId="77777777" w:rsidR="009F3CD4" w:rsidRDefault="009F3CD4" w:rsidP="009F3CD4">
      <w:pPr>
        <w:spacing w:line="360" w:lineRule="auto"/>
        <w:jc w:val="both"/>
      </w:pPr>
    </w:p>
    <w:p w14:paraId="66B6AB50" w14:textId="77777777" w:rsidR="009F3CD4" w:rsidRDefault="009F3CD4" w:rsidP="009F3CD4">
      <w:pPr>
        <w:spacing w:line="360" w:lineRule="auto"/>
        <w:jc w:val="both"/>
      </w:pPr>
      <w:r>
        <w:t xml:space="preserve">15.10.2019 </w:t>
      </w:r>
    </w:p>
    <w:p w14:paraId="1C2AEBCE" w14:textId="0956EC5F" w:rsidR="00EE7BA5" w:rsidRDefault="009F3CD4" w:rsidP="009F3CD4">
      <w:pPr>
        <w:spacing w:line="360" w:lineRule="auto"/>
        <w:jc w:val="both"/>
      </w:pPr>
      <w:r>
        <w:t>prof. MUDr. Viktor Chrobok, CSc., Ph.D., as. MUDr. Jakub Dršata, Ph.D., MUDr. Michal Homoláč, RNDr. Michal Janouch, Ph.D., prof. MUDr. Pavel Komínek, Ph.D., MBA, Mgr. Vít Blanař, Ph.D.</w:t>
      </w:r>
    </w:p>
    <w:p w14:paraId="7521F0ED" w14:textId="77777777" w:rsidR="009F3CD4" w:rsidRDefault="009F3CD4" w:rsidP="009F3CD4">
      <w:pPr>
        <w:spacing w:line="360" w:lineRule="auto"/>
        <w:jc w:val="both"/>
      </w:pPr>
    </w:p>
    <w:p w14:paraId="05F527BA" w14:textId="0C5B44FD" w:rsidR="009F3CD4" w:rsidRDefault="009F3CD4" w:rsidP="009F3CD4">
      <w:pPr>
        <w:spacing w:line="360" w:lineRule="auto"/>
        <w:jc w:val="both"/>
      </w:pPr>
      <w:r>
        <w:t xml:space="preserve">10.9.2024 - aktualizováno </w:t>
      </w:r>
    </w:p>
    <w:p w14:paraId="2901BC40" w14:textId="66887E3F" w:rsidR="009F3CD4" w:rsidRDefault="009F3CD4" w:rsidP="009F3CD4">
      <w:pPr>
        <w:spacing w:line="360" w:lineRule="auto"/>
        <w:jc w:val="both"/>
      </w:pPr>
      <w:r>
        <w:t>prof. MUDr. Viktor Chrobok, CSc., Ph.D., as. MUDr. Jakub Dršata, Ph.D., MUDr. Michal Homoláč, PhDr. Karel Hejduk, prof. MUDr. Pavel Komínek, Ph.D.</w:t>
      </w:r>
      <w:r w:rsidR="0054562E">
        <w:t>, MBA</w:t>
      </w:r>
      <w:r>
        <w:t xml:space="preserve">, </w:t>
      </w:r>
      <w:r w:rsidR="0054562E">
        <w:t>MUDr. Zdenka Aksenovová, Ph.D., MUDr. Dagmar Hošnová, Ph.D.,</w:t>
      </w:r>
      <w:r>
        <w:t xml:space="preserve"> Mgr. Vít Blanař, Ph.D.</w:t>
      </w:r>
      <w:r w:rsidR="00380E5C">
        <w:t>, MUDr. Jan Malý, Ph.D.</w:t>
      </w:r>
      <w:r w:rsidR="003F4DEC">
        <w:t>, MUDr. Alena Šebková</w:t>
      </w:r>
    </w:p>
    <w:p w14:paraId="421DA2A3" w14:textId="77777777" w:rsidR="009F3CD4" w:rsidRDefault="009F3CD4" w:rsidP="009F3CD4">
      <w:pPr>
        <w:spacing w:line="360" w:lineRule="auto"/>
        <w:jc w:val="both"/>
      </w:pPr>
    </w:p>
    <w:sectPr w:rsidR="009F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E070D"/>
    <w:multiLevelType w:val="hybridMultilevel"/>
    <w:tmpl w:val="7E7CF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49"/>
    <w:multiLevelType w:val="hybridMultilevel"/>
    <w:tmpl w:val="38A0A2B6"/>
    <w:lvl w:ilvl="0" w:tplc="C4E8B4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7887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0078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66E1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EC12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C87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E5D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89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56D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13378">
    <w:abstractNumId w:val="0"/>
  </w:num>
  <w:num w:numId="2" w16cid:durableId="508518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D4"/>
    <w:rsid w:val="00003B74"/>
    <w:rsid w:val="00022815"/>
    <w:rsid w:val="0008792A"/>
    <w:rsid w:val="000C2E8A"/>
    <w:rsid w:val="000F63A2"/>
    <w:rsid w:val="001765AF"/>
    <w:rsid w:val="001B3688"/>
    <w:rsid w:val="001B795F"/>
    <w:rsid w:val="001D4F6C"/>
    <w:rsid w:val="00380E5C"/>
    <w:rsid w:val="003E3EA3"/>
    <w:rsid w:val="003F4DEC"/>
    <w:rsid w:val="004242D7"/>
    <w:rsid w:val="004351D2"/>
    <w:rsid w:val="0054562E"/>
    <w:rsid w:val="006A044E"/>
    <w:rsid w:val="007661BE"/>
    <w:rsid w:val="00766BD3"/>
    <w:rsid w:val="007715EA"/>
    <w:rsid w:val="007A4C25"/>
    <w:rsid w:val="00904148"/>
    <w:rsid w:val="009E04ED"/>
    <w:rsid w:val="009E5657"/>
    <w:rsid w:val="009F3CD4"/>
    <w:rsid w:val="00A42F8B"/>
    <w:rsid w:val="00A6514E"/>
    <w:rsid w:val="00B04E82"/>
    <w:rsid w:val="00BB3E54"/>
    <w:rsid w:val="00DD6435"/>
    <w:rsid w:val="00DE1E1E"/>
    <w:rsid w:val="00DE75A8"/>
    <w:rsid w:val="00DF0ACE"/>
    <w:rsid w:val="00EE7BA5"/>
    <w:rsid w:val="00F00F33"/>
    <w:rsid w:val="00F6738A"/>
    <w:rsid w:val="00FA5E0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114A3"/>
  <w15:chartTrackingRefBased/>
  <w15:docId w15:val="{7760B3DE-AE27-4B03-BFBE-E456919F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3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F3C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F3C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3C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3C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F3C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3C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C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3CD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9F3C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9F3CD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9F3CD4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9F3CD4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9F3CD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9F3CD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9F3CD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9F3CD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9F3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F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F3C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9F3C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3CD4"/>
    <w:rPr>
      <w:i/>
      <w:iCs/>
      <w:color w:val="404040" w:themeColor="text1" w:themeTint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3C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3CD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CD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CD4"/>
    <w:rPr>
      <w:i/>
      <w:iCs/>
      <w:color w:val="365F91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F3CD4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nhideWhenUsed/>
    <w:rsid w:val="009F3CD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3C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F0ACE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9E04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E04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04E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E0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E04ED"/>
    <w:rPr>
      <w:b/>
      <w:bCs/>
    </w:rPr>
  </w:style>
  <w:style w:type="paragraph" w:styleId="Textbubliny">
    <w:name w:val="Balloon Text"/>
    <w:basedOn w:val="Normln"/>
    <w:link w:val="TextbublinyChar"/>
    <w:rsid w:val="007A4C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A4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50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83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2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9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39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8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13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reeningsluchu@fn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Chrobok Viktor</dc:creator>
  <cp:keywords/>
  <dc:description/>
  <cp:lastModifiedBy>Chrobok Viktor</cp:lastModifiedBy>
  <cp:revision>6</cp:revision>
  <dcterms:created xsi:type="dcterms:W3CDTF">2024-09-05T11:42:00Z</dcterms:created>
  <dcterms:modified xsi:type="dcterms:W3CDTF">2024-09-11T20:55:00Z</dcterms:modified>
</cp:coreProperties>
</file>