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33446" w14:textId="77777777" w:rsidR="00473C6F" w:rsidRDefault="00780D00">
      <w:pPr>
        <w:spacing w:after="251" w:line="259" w:lineRule="auto"/>
        <w:ind w:left="0" w:right="0" w:firstLine="0"/>
        <w:jc w:val="left"/>
      </w:pPr>
      <w:bookmarkStart w:id="0" w:name="_GoBack"/>
      <w:bookmarkEnd w:id="0"/>
      <w:r>
        <w:rPr>
          <w:rFonts w:ascii="Cambria" w:eastAsia="Cambria" w:hAnsi="Cambria" w:cs="Cambria"/>
          <w:noProof/>
          <w:sz w:val="24"/>
          <w:lang w:val="en-US" w:eastAsia="en-US"/>
        </w:rPr>
        <w:drawing>
          <wp:inline distT="0" distB="0" distL="0" distR="0" wp14:anchorId="1608576F" wp14:editId="590F0BC6">
            <wp:extent cx="1294765" cy="739140"/>
            <wp:effectExtent l="0" t="0" r="635" b="3810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87D">
        <w:rPr>
          <w:rFonts w:ascii="Cambria" w:eastAsia="Cambria" w:hAnsi="Cambria" w:cs="Cambria"/>
          <w:sz w:val="24"/>
        </w:rPr>
        <w:t xml:space="preserve">                                                                        </w:t>
      </w:r>
    </w:p>
    <w:p w14:paraId="4F895FC2" w14:textId="77777777" w:rsidR="00473C6F" w:rsidRDefault="00E4187D">
      <w:pPr>
        <w:spacing w:after="69" w:line="259" w:lineRule="auto"/>
        <w:ind w:left="2" w:right="0" w:firstLine="0"/>
        <w:jc w:val="center"/>
      </w:pPr>
      <w:r>
        <w:rPr>
          <w:b/>
          <w:sz w:val="28"/>
        </w:rPr>
        <w:t>Výzva k</w:t>
      </w:r>
      <w:r w:rsidR="00B55A3D">
        <w:rPr>
          <w:b/>
          <w:sz w:val="28"/>
        </w:rPr>
        <w:t>e</w:t>
      </w:r>
      <w:r>
        <w:rPr>
          <w:b/>
          <w:sz w:val="28"/>
        </w:rPr>
        <w:t> </w:t>
      </w:r>
      <w:r w:rsidR="00B55A3D">
        <w:rPr>
          <w:b/>
          <w:sz w:val="28"/>
        </w:rPr>
        <w:t>zlepšení zdravotní péče v souvislosti se ztrátou</w:t>
      </w:r>
      <w:r>
        <w:rPr>
          <w:b/>
          <w:sz w:val="28"/>
        </w:rPr>
        <w:t xml:space="preserve"> sluchu </w:t>
      </w:r>
    </w:p>
    <w:p w14:paraId="642B78C1" w14:textId="77777777" w:rsidR="00473C6F" w:rsidRDefault="00E4187D">
      <w:pPr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hd w:val="clear" w:color="auto" w:fill="F2F2F2"/>
        <w:spacing w:after="139" w:line="249" w:lineRule="auto"/>
        <w:ind w:left="0" w:right="0" w:hanging="10"/>
        <w:jc w:val="left"/>
      </w:pPr>
      <w:r>
        <w:rPr>
          <w:b/>
        </w:rPr>
        <w:t>Ztráta sluchu představuje významný zdravotní problém, kterému s</w:t>
      </w:r>
      <w:r w:rsidR="00B55A3D">
        <w:rPr>
          <w:b/>
        </w:rPr>
        <w:t>e v mnoha zemích stále nevěnuje dostatečná pozornost</w:t>
      </w:r>
      <w:r>
        <w:rPr>
          <w:b/>
        </w:rPr>
        <w:t>. Celosvětově více než 360 milionů lidí trpí ztrátou sluchu,</w:t>
      </w:r>
      <w:r w:rsidR="00B55A3D">
        <w:rPr>
          <w:b/>
        </w:rPr>
        <w:t xml:space="preserve"> která u dětí i dospělých vede</w:t>
      </w:r>
      <w:r w:rsidR="0081193E">
        <w:rPr>
          <w:b/>
        </w:rPr>
        <w:t xml:space="preserve"> k funkčnímu a ko</w:t>
      </w:r>
      <w:r>
        <w:rPr>
          <w:b/>
        </w:rPr>
        <w:t>gnitivnímu poškození.</w:t>
      </w:r>
    </w:p>
    <w:p w14:paraId="72C477CD" w14:textId="77777777" w:rsidR="00473C6F" w:rsidRDefault="00473C6F">
      <w:pPr>
        <w:sectPr w:rsidR="00473C6F">
          <w:pgSz w:w="11906" w:h="16838"/>
          <w:pgMar w:top="142" w:right="1077" w:bottom="1133" w:left="1080" w:header="0" w:footer="0" w:gutter="0"/>
          <w:cols w:space="708"/>
          <w:formProt w:val="0"/>
          <w:docGrid w:linePitch="240" w:charSpace="2047"/>
        </w:sectPr>
      </w:pPr>
    </w:p>
    <w:p w14:paraId="7634DEB1" w14:textId="77777777" w:rsidR="00473C6F" w:rsidRDefault="00473C6F">
      <w:pPr>
        <w:spacing w:after="91" w:line="259" w:lineRule="auto"/>
        <w:ind w:left="0" w:right="0" w:firstLine="0"/>
        <w:jc w:val="left"/>
      </w:pPr>
    </w:p>
    <w:p w14:paraId="655029CE" w14:textId="77777777" w:rsidR="00473C6F" w:rsidRDefault="00E4187D">
      <w:pPr>
        <w:pStyle w:val="Heading1"/>
        <w:ind w:left="0" w:hanging="370"/>
      </w:pPr>
      <w:r>
        <w:t xml:space="preserve">Úvod </w:t>
      </w:r>
    </w:p>
    <w:p w14:paraId="4F60A744" w14:textId="77777777" w:rsidR="00473C6F" w:rsidRDefault="00E4187D">
      <w:pPr>
        <w:spacing w:after="68"/>
        <w:ind w:left="0" w:right="35" w:firstLine="0"/>
      </w:pPr>
      <w:r>
        <w:t>Ztráta sluchu</w:t>
      </w:r>
      <w:r w:rsidR="00B55A3D">
        <w:t xml:space="preserve"> je jednou z nejvíce zanedbávaných a skrytých vad, které vedou k trvalému</w:t>
      </w:r>
      <w:r>
        <w:t xml:space="preserve"> post</w:t>
      </w:r>
      <w:r w:rsidR="00B55A3D">
        <w:t>ižení</w:t>
      </w:r>
      <w:r>
        <w:t xml:space="preserve"> (</w:t>
      </w:r>
      <w:r w:rsidR="00815AF3">
        <w:t>viz Světová zpráva o invaliditě vydaná Světovou zdravotnickou organizací a Světovou bankou</w:t>
      </w:r>
      <w:r>
        <w:rPr>
          <w:rStyle w:val="Ukotvenpoznmkypodarou"/>
        </w:rPr>
        <w:footnoteReference w:id="1"/>
      </w:r>
      <w:r>
        <w:rPr>
          <w:vertAlign w:val="superscript"/>
        </w:rPr>
        <w:t>,</w:t>
      </w:r>
      <w:r>
        <w:rPr>
          <w:rStyle w:val="Ukotvenpoznmkypodarou"/>
        </w:rPr>
        <w:footnoteReference w:id="2"/>
      </w:r>
      <w:r>
        <w:t>)</w:t>
      </w:r>
      <w:r w:rsidR="00100877">
        <w:t xml:space="preserve">, a </w:t>
      </w:r>
      <w:r>
        <w:t>dotýk</w:t>
      </w:r>
      <w:r w:rsidR="00100877">
        <w:t>ají</w:t>
      </w:r>
      <w:r>
        <w:t xml:space="preserve"> se odhadem 5,3% celosvětové populace</w:t>
      </w:r>
      <w:r>
        <w:rPr>
          <w:rStyle w:val="Ukotvenpoznmkypodarou"/>
        </w:rPr>
        <w:footnoteReference w:id="3"/>
      </w:r>
      <w:r>
        <w:t>. Většina z postižených přitom žije v nízko- a středně-příjmových zemích (</w:t>
      </w:r>
      <w:r w:rsidR="00B55A3D">
        <w:t>NSPZ</w:t>
      </w:r>
      <w:r>
        <w:t>), kde jsou zdro</w:t>
      </w:r>
      <w:r w:rsidR="00815AF3">
        <w:t>je pro prevenci a léčbu nejnižší</w:t>
      </w:r>
      <w:r>
        <w:t xml:space="preserve">.  </w:t>
      </w:r>
    </w:p>
    <w:p w14:paraId="49FDB6F7" w14:textId="77777777" w:rsidR="00473C6F" w:rsidRDefault="00815AF3">
      <w:pPr>
        <w:spacing w:after="70"/>
        <w:ind w:left="0" w:right="35" w:firstLine="0"/>
      </w:pPr>
      <w:r>
        <w:t>Ztráta sluchu u dětí může způsobit nezvratné</w:t>
      </w:r>
      <w:r w:rsidR="00E4187D">
        <w:t xml:space="preserve"> zpoždění ve vývoji v jazykové, intelektuální, sociální </w:t>
      </w:r>
      <w:r>
        <w:t>a emoční oblasti, a to zejména</w:t>
      </w:r>
      <w:r w:rsidR="00E4187D">
        <w:t>, je-li diagnostikována později ne</w:t>
      </w:r>
      <w:r>
        <w:t>ž</w:t>
      </w:r>
      <w:r w:rsidR="00E4187D">
        <w:t xml:space="preserve"> v šesti měsících věku. Bez vhodných opatření v prvních měsících života, vede vrozená či raná ztráta sluchu ke zpoždění vývoje nebo poškození vývoje mozku, které ji</w:t>
      </w:r>
      <w:r>
        <w:t>ž nemůže</w:t>
      </w:r>
      <w:r w:rsidR="00E4187D">
        <w:t xml:space="preserve"> být v </w:t>
      </w:r>
      <w:r>
        <w:t>pozdějším věku plně kompenzováno</w:t>
      </w:r>
      <w:r w:rsidR="00E4187D">
        <w:t xml:space="preserve"> léčbou či rehabilitačními programy. Ačkoliv kochleární implantáty v nedávné době zásadně změnily situaci u vrozeně neslyšících dětí, jsou stále dostupné pouze pro malé procento světové populace a též závisejí na programech včasné </w:t>
      </w:r>
      <w:r>
        <w:t>diagnostiky, které většina NSPZ</w:t>
      </w:r>
      <w:r w:rsidR="00E4187D">
        <w:t xml:space="preserve"> nemá. Neslyší</w:t>
      </w:r>
      <w:r>
        <w:t>cí a špatně slyšící děti v NSPZ čeká složitá budoucnost, kdy</w:t>
      </w:r>
      <w:r w:rsidR="00E4187D">
        <w:t xml:space="preserve"> dostupná zdravotn</w:t>
      </w:r>
      <w:r>
        <w:t>í a sociál</w:t>
      </w:r>
      <w:r w:rsidR="0081193E">
        <w:t>ní péče buď neexistuje vůbec</w:t>
      </w:r>
      <w:r w:rsidR="00100877">
        <w:t xml:space="preserve">, </w:t>
      </w:r>
      <w:r>
        <w:t>nebo je velmi omezená</w:t>
      </w:r>
      <w:r w:rsidR="00E4187D">
        <w:t xml:space="preserve"> a převažující sociokulturní klima je k nim nevšímavé nebo dokonce nepřátelské. Zavést opatření pro prevenci, ranou diagnostiku a intervenci je tedy naprosto nezbytné.  </w:t>
      </w:r>
    </w:p>
    <w:p w14:paraId="256104B6" w14:textId="77777777" w:rsidR="00473C6F" w:rsidRDefault="0081193E">
      <w:pPr>
        <w:spacing w:after="70"/>
        <w:ind w:left="0" w:right="35" w:firstLine="0"/>
      </w:pPr>
      <w:r>
        <w:t>U starších jedinců bývá ztráta sluchu</w:t>
      </w:r>
      <w:r w:rsidR="00E4187D">
        <w:t xml:space="preserve"> považována za nevyhnutelnou součást procesu stárnutí. Nicméně narůstají důkazy, že ztráta sluchu u starších osob je spojena s větším rizikem rozvoje demence a dalších postižení. Snaha zdravotnictví věnovat se rehabilitaci ztrát sluchu ve stáří tak může mít u dotyčných osob velký dopad na jejich celkové zdraví a život, s následným benefitem pro celou společnost.  </w:t>
      </w:r>
    </w:p>
    <w:p w14:paraId="15FE91F0" w14:textId="77777777" w:rsidR="00473C6F" w:rsidRDefault="00E4187D">
      <w:pPr>
        <w:spacing w:after="0"/>
        <w:ind w:left="0" w:right="35" w:firstLine="0"/>
      </w:pPr>
      <w:r>
        <w:t xml:space="preserve">Samotný termín „ztráta sluchu“ v sobě zahrnuje velmi široké spektrum druhů poškození a typů onemocnění. Je důležité zdůraznit, že příčiny </w:t>
      </w:r>
      <w:r w:rsidR="00815AF3">
        <w:t xml:space="preserve">sluchové </w:t>
      </w:r>
      <w:r>
        <w:t>ztrát</w:t>
      </w:r>
      <w:r w:rsidR="00815AF3">
        <w:t>y</w:t>
      </w:r>
      <w:r>
        <w:t xml:space="preserve"> jsou odlišné mezi vysoko-př</w:t>
      </w:r>
      <w:r w:rsidR="00815AF3">
        <w:t>íjmovými zeměmi a NSPZ</w:t>
      </w:r>
      <w:r>
        <w:t>. V</w:t>
      </w:r>
      <w:r w:rsidR="00815AF3">
        <w:t xml:space="preserve">e </w:t>
      </w:r>
      <w:r w:rsidR="00815AF3">
        <w:lastRenderedPageBreak/>
        <w:t>vysoko-příjmových zemích</w:t>
      </w:r>
      <w:r>
        <w:t xml:space="preserve"> </w:t>
      </w:r>
      <w:r w:rsidR="00815AF3">
        <w:t xml:space="preserve">pochází </w:t>
      </w:r>
      <w:r>
        <w:t>trvalá či dlouhodobá z</w:t>
      </w:r>
      <w:r w:rsidR="00815AF3">
        <w:t>tráta sluchu nejčastěji</w:t>
      </w:r>
      <w:r>
        <w:t xml:space="preserve"> z patologických změn ve vnitřním uchu, které jsou následkem genetických a s věkem souvisejících faktorů, ačkoliv s</w:t>
      </w:r>
      <w:r w:rsidR="00815AF3">
        <w:t>poluúčast faktorů prostředí jakými</w:t>
      </w:r>
      <w:r>
        <w:t xml:space="preserve"> jsou expozice hluku, infekce, </w:t>
      </w:r>
      <w:proofErr w:type="spellStart"/>
      <w:r>
        <w:t>ototoxické</w:t>
      </w:r>
      <w:proofErr w:type="spellEnd"/>
      <w:r>
        <w:t xml:space="preserve"> látky (</w:t>
      </w:r>
      <w:r w:rsidR="00940A3D">
        <w:t>napříkla</w:t>
      </w:r>
      <w:r w:rsidR="0081193E">
        <w:t>d některá antibiotika) a výživa má též</w:t>
      </w:r>
      <w:r w:rsidR="00940A3D">
        <w:t xml:space="preserve"> svůj význam. V NSPZ</w:t>
      </w:r>
      <w:r>
        <w:t xml:space="preserve"> je celková převaha patologických změn ve vnitřním uchu také vysoká, ale vlivy vnějšího prostředí jako neléčené infekce středouší, horní části dýchacího systému, meningitidy, neregulovaná expozice hluku, přítomnost toxinů na pracovišti a </w:t>
      </w:r>
      <w:proofErr w:type="spellStart"/>
      <w:r>
        <w:t>ototoxi</w:t>
      </w:r>
      <w:r w:rsidR="00552E14">
        <w:t>cké</w:t>
      </w:r>
      <w:proofErr w:type="spellEnd"/>
      <w:r w:rsidR="00552E14">
        <w:t xml:space="preserve"> léky, mají podstatnější význam. Genetické faktory však</w:t>
      </w:r>
      <w:r>
        <w:t xml:space="preserve"> stále významný</w:t>
      </w:r>
      <w:r w:rsidR="00552E14">
        <w:t>m</w:t>
      </w:r>
      <w:r>
        <w:t xml:space="preserve"> </w:t>
      </w:r>
      <w:r w:rsidR="00552E14">
        <w:t>způsobem přispívají ke ztrátě sluchu</w:t>
      </w:r>
      <w:r>
        <w:t>, zvláště v oblastech s vyšší m</w:t>
      </w:r>
      <w:r w:rsidR="00552E14">
        <w:t>írou pokrevního příbuzenství. Existuje</w:t>
      </w:r>
      <w:r>
        <w:t xml:space="preserve"> zde</w:t>
      </w:r>
      <w:r w:rsidR="00552E14">
        <w:t xml:space="preserve"> také vysoké procento případů po</w:t>
      </w:r>
      <w:r>
        <w:t>cházejících přímo ze středoušních infekcí. Vzhledem k tomu, ž</w:t>
      </w:r>
      <w:r w:rsidR="0081193E">
        <w:t>e patologické změny ve vnitřním</w:t>
      </w:r>
      <w:r>
        <w:t xml:space="preserve"> uchu jsou častější u starších jedinců, je zřejmé, že narůstají</w:t>
      </w:r>
      <w:r w:rsidR="00552E14">
        <w:t>cí průměrná délka života v NSPZ</w:t>
      </w:r>
      <w:r>
        <w:t xml:space="preserve"> bude mít v těchto ze</w:t>
      </w:r>
      <w:r w:rsidR="00552E14">
        <w:t xml:space="preserve">mích stále větší vliv na </w:t>
      </w:r>
      <w:r>
        <w:t>příčin</w:t>
      </w:r>
      <w:r w:rsidR="00552E14">
        <w:t>y</w:t>
      </w:r>
      <w:r>
        <w:t xml:space="preserve"> ztrát sluchu. Jak </w:t>
      </w:r>
      <w:r w:rsidR="00552E14">
        <w:t xml:space="preserve">výskyt </w:t>
      </w:r>
      <w:r>
        <w:t xml:space="preserve">onemocnění středouší, tak rozvoj patologií vnitřního ucha může </w:t>
      </w:r>
      <w:r w:rsidR="00552E14">
        <w:t xml:space="preserve">být </w:t>
      </w:r>
      <w:r>
        <w:t>ovlivněn snahou o prevenci a účinnou léčbu infekčních onemocnění.</w:t>
      </w:r>
      <w:r w:rsidR="00552E14">
        <w:t xml:space="preserve"> I když významnou roli</w:t>
      </w:r>
      <w:r>
        <w:t xml:space="preserve"> </w:t>
      </w:r>
      <w:r w:rsidR="00552E14">
        <w:t>v tomto případě hrají</w:t>
      </w:r>
      <w:r>
        <w:t xml:space="preserve"> individuální genetické dispozice imunitního systému, důraz v primární prevenci musí být kladen na </w:t>
      </w:r>
      <w:r w:rsidR="00552E14">
        <w:t>faktory vnějšího prostředí. Ty</w:t>
      </w:r>
      <w:r>
        <w:t xml:space="preserve"> představují výživa, klima a cenově</w:t>
      </w:r>
      <w:r w:rsidR="00552E14">
        <w:t xml:space="preserve"> dostupná hygiena a zdravotní</w:t>
      </w:r>
      <w:r>
        <w:t xml:space="preserve"> péče – především dobrá diagnostika a léčba středoušních infekcí včetně prevence očkováním (např. proti </w:t>
      </w:r>
      <w:proofErr w:type="spellStart"/>
      <w:r>
        <w:rPr>
          <w:i/>
        </w:rPr>
        <w:t>Pneumococcus</w:t>
      </w:r>
      <w:proofErr w:type="spellEnd"/>
      <w:r>
        <w:rPr>
          <w:i/>
        </w:rPr>
        <w:t xml:space="preserve"> </w:t>
      </w:r>
      <w:r>
        <w:t>a</w:t>
      </w:r>
      <w:r>
        <w:rPr>
          <w:i/>
        </w:rPr>
        <w:t xml:space="preserve"> </w:t>
      </w:r>
      <w:proofErr w:type="spellStart"/>
      <w:r>
        <w:rPr>
          <w:i/>
        </w:rPr>
        <w:t>Haemophilus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influenzae</w:t>
      </w:r>
      <w:proofErr w:type="spellEnd"/>
      <w:r>
        <w:t xml:space="preserve">). </w:t>
      </w:r>
    </w:p>
    <w:p w14:paraId="6231532A" w14:textId="77777777" w:rsidR="00473C6F" w:rsidRDefault="00E4187D">
      <w:pPr>
        <w:pStyle w:val="Heading1"/>
        <w:ind w:left="0" w:hanging="370"/>
      </w:pPr>
      <w:r>
        <w:t xml:space="preserve">Pozadí </w:t>
      </w:r>
    </w:p>
    <w:p w14:paraId="19506E31" w14:textId="77777777" w:rsidR="00473C6F" w:rsidRDefault="00E4187D">
      <w:pPr>
        <w:spacing w:after="70"/>
        <w:ind w:left="0" w:right="35" w:firstLine="0"/>
      </w:pPr>
      <w:r>
        <w:t xml:space="preserve">Ztráta sluchu </w:t>
      </w:r>
      <w:r w:rsidR="00552E14">
        <w:t>je velmi rozšířená, je přítomna</w:t>
      </w:r>
      <w:r>
        <w:t xml:space="preserve"> u téměř dvou třetin osob starších 70-ti let</w:t>
      </w:r>
      <w:r>
        <w:rPr>
          <w:rStyle w:val="Ukotvenpoznmkypodarou"/>
        </w:rPr>
        <w:footnoteReference w:id="4"/>
      </w:r>
      <w:r w:rsidR="00552E14">
        <w:t xml:space="preserve"> a bylo zjištěno, že </w:t>
      </w:r>
      <w:r w:rsidR="0081193E">
        <w:t>souvisí s rizikem rozvojem ko</w:t>
      </w:r>
      <w:r>
        <w:t>gnitivního a</w:t>
      </w:r>
      <w:r w:rsidR="00D77C01">
        <w:t xml:space="preserve"> fyzického postižení, konkrétně</w:t>
      </w:r>
      <w:r w:rsidR="00552E14">
        <w:t xml:space="preserve"> vede k 2- až 5-násobné</w:t>
      </w:r>
      <w:r>
        <w:t xml:space="preserve"> pravděpodobnost</w:t>
      </w:r>
      <w:r w:rsidR="00D77C01">
        <w:t>i rozvoje demence,</w:t>
      </w:r>
      <w:r w:rsidR="00552E14">
        <w:t xml:space="preserve"> zvýšené míře</w:t>
      </w:r>
      <w:r>
        <w:t xml:space="preserve"> hospita</w:t>
      </w:r>
      <w:r w:rsidR="00552E14">
        <w:t>lizace a potřeby zdravotní péče a ke snížené délce</w:t>
      </w:r>
      <w:r>
        <w:t xml:space="preserve"> dožití.  Reálnost vazby mezi ztrátou sluchu a rozvojem demence je podložena pracemi na několika výzkumných pracovištích v různých zemích. V tomto</w:t>
      </w:r>
      <w:r w:rsidR="00870E01">
        <w:t xml:space="preserve"> kontextu je také třeba vzít v úvahu</w:t>
      </w:r>
      <w:r>
        <w:t xml:space="preserve"> problém tzv. „</w:t>
      </w:r>
      <w:proofErr w:type="spellStart"/>
      <w:r>
        <w:t>pseudodemence</w:t>
      </w:r>
      <w:proofErr w:type="spellEnd"/>
      <w:r>
        <w:t xml:space="preserve">“: v důsledku nediagnostikované ztráty sluchu převládá v klinickém obraze projev připomínající demenci.  </w:t>
      </w:r>
    </w:p>
    <w:p w14:paraId="3DA011E9" w14:textId="77777777" w:rsidR="00473C6F" w:rsidRDefault="00870E01">
      <w:pPr>
        <w:spacing w:after="81"/>
        <w:ind w:left="0" w:right="35" w:firstLine="0"/>
      </w:pPr>
      <w:r>
        <w:lastRenderedPageBreak/>
        <w:t>Ztráta sluchu způsobuje</w:t>
      </w:r>
      <w:r w:rsidR="00E4187D">
        <w:t xml:space="preserve"> zvýšenou sociální izolaci a snížené kognitivní zatížení, a dále pak </w:t>
      </w:r>
      <w:r>
        <w:t>má přímé</w:t>
      </w:r>
      <w:r w:rsidR="00E4187D">
        <w:t xml:space="preserve"> účinky na strukturu/funkci mozku.  Důležité je, že tyto </w:t>
      </w:r>
      <w:r>
        <w:t xml:space="preserve">negativní </w:t>
      </w:r>
      <w:r w:rsidR="00E4187D">
        <w:t xml:space="preserve">projevy </w:t>
      </w:r>
      <w:r>
        <w:t>mohou být ovlivnitelné dostatečným</w:t>
      </w:r>
      <w:r w:rsidR="00E4187D">
        <w:t xml:space="preserve"> využití</w:t>
      </w:r>
      <w:r>
        <w:t>m</w:t>
      </w:r>
      <w:r w:rsidR="00E4187D">
        <w:t xml:space="preserve"> sluchového screeningu a následné rehabilitační péče. Bohužel, dosáhnout takové úrovně služeb je těžké a to i ve vyspělých zemích: například, i s velmi dobře rozvinutou zdravotnickou infrastrukturou</w:t>
      </w:r>
      <w:r w:rsidR="00D77C01">
        <w:t xml:space="preserve"> pro poruchy sluchu se dostane </w:t>
      </w:r>
      <w:r w:rsidR="00E4187D">
        <w:t>méně než 20% dospělý</w:t>
      </w:r>
      <w:r w:rsidR="00FC1CB2">
        <w:t xml:space="preserve">ch osob se </w:t>
      </w:r>
      <w:r w:rsidR="00D77C01">
        <w:t>ztrátou sluchu</w:t>
      </w:r>
      <w:r w:rsidR="00E4187D">
        <w:t xml:space="preserve"> vůb</w:t>
      </w:r>
      <w:r>
        <w:t>ec nějaké formy</w:t>
      </w:r>
      <w:r w:rsidR="00E4187D">
        <w:t xml:space="preserve"> léčby, rehabilitace či sluchových pomůcek. Tato procenta jso</w:t>
      </w:r>
      <w:r>
        <w:t>u samozřejmě ještě nižší v NSPZ</w:t>
      </w:r>
      <w:r w:rsidR="00E4187D">
        <w:t>, které nemají takovou zdrav</w:t>
      </w:r>
      <w:r>
        <w:t>otnickou infrastrukturu zavedeno</w:t>
      </w:r>
      <w:r w:rsidR="00E4187D">
        <w:t>u</w:t>
      </w:r>
      <w:r w:rsidR="00E4187D">
        <w:rPr>
          <w:rStyle w:val="Ukotvenpoznmkypodarou"/>
        </w:rPr>
        <w:footnoteReference w:id="5"/>
      </w:r>
      <w:r w:rsidR="00E4187D">
        <w:t xml:space="preserve">. </w:t>
      </w:r>
    </w:p>
    <w:p w14:paraId="40DBF5C1" w14:textId="77777777" w:rsidR="00473C6F" w:rsidRDefault="00E4187D">
      <w:pPr>
        <w:spacing w:after="100"/>
        <w:ind w:left="0" w:right="35" w:firstLine="0"/>
      </w:pPr>
      <w:r>
        <w:t xml:space="preserve">Důvody pro tak nízký podíl léčených ztrát sluchu zahrnují:  </w:t>
      </w:r>
    </w:p>
    <w:p w14:paraId="516FCC59" w14:textId="77777777" w:rsidR="00473C6F" w:rsidRDefault="00E4187D">
      <w:pPr>
        <w:numPr>
          <w:ilvl w:val="0"/>
          <w:numId w:val="1"/>
        </w:numPr>
        <w:ind w:right="35" w:hanging="706"/>
      </w:pPr>
      <w:r>
        <w:t>Nedostatek nebo špatnou kvalitu zdravotni</w:t>
      </w:r>
      <w:r w:rsidR="00870E01">
        <w:t>ckého vybavení pro časnou diagnó</w:t>
      </w:r>
      <w:r>
        <w:t xml:space="preserve">zu a léčbu spolu s nedostatkem investic; </w:t>
      </w:r>
    </w:p>
    <w:p w14:paraId="48FF4700" w14:textId="77777777" w:rsidR="00473C6F" w:rsidRDefault="00E4187D">
      <w:pPr>
        <w:numPr>
          <w:ilvl w:val="0"/>
          <w:numId w:val="1"/>
        </w:numPr>
        <w:spacing w:after="28" w:line="240" w:lineRule="auto"/>
        <w:ind w:right="35" w:hanging="706"/>
      </w:pPr>
      <w:r>
        <w:t>Nedostatek povědomí a uznání vážnosti problému mezi politickými činiteli a zdravotnickými pracovníky</w:t>
      </w:r>
      <w:r w:rsidR="00AB367D">
        <w:t xml:space="preserve"> o tom</w:t>
      </w:r>
      <w:r>
        <w:t xml:space="preserve">, že ztráta sluchu představuje klíčový faktor pro průběh stárnutí, který se musí stát nedílnou součástí veřejné zdravotní péče; </w:t>
      </w:r>
    </w:p>
    <w:p w14:paraId="0453AE95" w14:textId="77777777" w:rsidR="00473C6F" w:rsidRDefault="00E4187D">
      <w:pPr>
        <w:numPr>
          <w:ilvl w:val="0"/>
          <w:numId w:val="1"/>
        </w:numPr>
        <w:ind w:right="35" w:hanging="706"/>
      </w:pPr>
      <w:r>
        <w:t xml:space="preserve">V některých kulturách, sociální stigmatizace postižení a hendikepů; </w:t>
      </w:r>
    </w:p>
    <w:p w14:paraId="195D4CF8" w14:textId="77777777" w:rsidR="00473C6F" w:rsidRDefault="00E4187D">
      <w:pPr>
        <w:numPr>
          <w:ilvl w:val="0"/>
          <w:numId w:val="1"/>
        </w:numPr>
        <w:spacing w:after="2" w:line="237" w:lineRule="auto"/>
        <w:ind w:right="35" w:hanging="706"/>
      </w:pPr>
      <w:r>
        <w:t xml:space="preserve">Nedostatečné znalosti jak se projevují ztráty sluchu a jaké se jim má dostat následné pozornosti a efektivní péče; </w:t>
      </w:r>
    </w:p>
    <w:p w14:paraId="2B5E7A78" w14:textId="77777777" w:rsidR="00473C6F" w:rsidRDefault="00E4187D">
      <w:pPr>
        <w:numPr>
          <w:ilvl w:val="0"/>
          <w:numId w:val="1"/>
        </w:numPr>
        <w:spacing w:after="28" w:line="240" w:lineRule="auto"/>
        <w:ind w:right="35" w:hanging="706"/>
      </w:pPr>
      <w:r>
        <w:t xml:space="preserve">Současný </w:t>
      </w:r>
      <w:r w:rsidR="00870E01">
        <w:t>model zdravotnictví a</w:t>
      </w:r>
      <w:r>
        <w:t xml:space="preserve"> průmyslu</w:t>
      </w:r>
      <w:r w:rsidR="00870E01">
        <w:t xml:space="preserve"> sluchových pomůcek</w:t>
      </w:r>
      <w:r>
        <w:t xml:space="preserve">, který preferuje dodávky ziskových a drahých malo-objemových naslouchadel a kochleárních implantátů, které ale zůstávají mnoha lidem cenově nedostupné; </w:t>
      </w:r>
    </w:p>
    <w:p w14:paraId="628D2628" w14:textId="77777777" w:rsidR="00473C6F" w:rsidRDefault="00870E01">
      <w:pPr>
        <w:numPr>
          <w:ilvl w:val="0"/>
          <w:numId w:val="1"/>
        </w:numPr>
        <w:ind w:right="35" w:hanging="706"/>
      </w:pPr>
      <w:r>
        <w:t>Obecně nedostatečné pokrytí výdajů širokospektré</w:t>
      </w:r>
      <w:r w:rsidR="00E4187D">
        <w:t xml:space="preserve"> </w:t>
      </w:r>
      <w:r>
        <w:t>zdravotnické péče</w:t>
      </w:r>
      <w:r w:rsidR="00E4187D">
        <w:t xml:space="preserve">; </w:t>
      </w:r>
    </w:p>
    <w:p w14:paraId="5BFDC131" w14:textId="77777777" w:rsidR="00473C6F" w:rsidRDefault="00E4187D">
      <w:pPr>
        <w:numPr>
          <w:ilvl w:val="0"/>
          <w:numId w:val="1"/>
        </w:numPr>
        <w:spacing w:after="0"/>
        <w:ind w:right="35" w:hanging="706"/>
      </w:pPr>
      <w:r>
        <w:t>Nedostatek trénovaných specialistů zajišťujících zdravotní péči o sluch, včetně n</w:t>
      </w:r>
      <w:r w:rsidR="00870E01">
        <w:t>edostatku specialistů pro diagnó</w:t>
      </w:r>
      <w:r>
        <w:t xml:space="preserve">zu a léčbu ztrát sluchu, a to zvláště v nízko-příjmových zemích.  </w:t>
      </w:r>
    </w:p>
    <w:p w14:paraId="30E96DE3" w14:textId="77777777" w:rsidR="00473C6F" w:rsidRDefault="00E4187D">
      <w:pPr>
        <w:spacing w:after="61" w:line="259" w:lineRule="auto"/>
        <w:ind w:left="1066" w:right="0" w:firstLine="0"/>
        <w:jc w:val="left"/>
      </w:pPr>
      <w:r>
        <w:t xml:space="preserve"> </w:t>
      </w:r>
    </w:p>
    <w:p w14:paraId="06296553" w14:textId="77777777" w:rsidR="00473C6F" w:rsidRDefault="00E4187D">
      <w:pPr>
        <w:pStyle w:val="Heading1"/>
        <w:ind w:left="0" w:hanging="370"/>
      </w:pPr>
      <w:r>
        <w:t>Celosvětově se zvyšující politické povědomí</w:t>
      </w:r>
    </w:p>
    <w:p w14:paraId="7D20DC0B" w14:textId="77777777" w:rsidR="00473C6F" w:rsidRDefault="00E4187D">
      <w:pPr>
        <w:spacing w:after="70"/>
        <w:ind w:left="0" w:right="35" w:firstLine="0"/>
      </w:pPr>
      <w:r>
        <w:t>Teprve v posledních letech začal být kladen důraz na obrovský rozsah globální zátěže vyplývající ze ztrát sluchu</w:t>
      </w:r>
      <w:r>
        <w:rPr>
          <w:rStyle w:val="Ukotvenpoznmkypodarou"/>
        </w:rPr>
        <w:footnoteReference w:id="6"/>
      </w:r>
      <w:r>
        <w:t>. Vzhledem k této situaci Světové zdravotnické shromáždění (1995) schválilo k tomuto tématu rezoluci (WHA 48.9</w:t>
      </w:r>
      <w:r>
        <w:rPr>
          <w:rStyle w:val="Ukotvenpoznmkypodarou"/>
        </w:rPr>
        <w:footnoteReference w:id="7"/>
      </w:r>
      <w:r>
        <w:t>), ve které naléhá</w:t>
      </w:r>
      <w:r w:rsidR="00AB367D">
        <w:t xml:space="preserve"> na členské země, aby připravily</w:t>
      </w:r>
      <w:r>
        <w:t xml:space="preserve"> plány a strategie pro prevenci, </w:t>
      </w:r>
      <w:r>
        <w:lastRenderedPageBreak/>
        <w:t>diagnostiku a zvládnutí ušních onemocnění a vad sluchu. WHO zpráva z března 2014</w:t>
      </w:r>
      <w:r w:rsidR="00973965">
        <w:rPr>
          <w:rStyle w:val="FootnoteReference"/>
        </w:rPr>
        <w:footnoteReference w:id="8"/>
      </w:r>
      <w:r>
        <w:t xml:space="preserve"> mapovala dostupnost lidských zdrojů pro ušní a sluchovou péčí ve světě. Jejím závěrem bylo zjištění, že pouze 32 ze 76 dotazovaných zemí mělo nějaké programy či zdravotnickou politiku, která se věnovala problematice a příčinám ztráty sluchu. </w:t>
      </w:r>
    </w:p>
    <w:p w14:paraId="70A6895B" w14:textId="77777777" w:rsidR="00473C6F" w:rsidRDefault="00AB367D">
      <w:pPr>
        <w:spacing w:after="70" w:line="240" w:lineRule="auto"/>
        <w:ind w:left="0" w:right="0" w:firstLine="0"/>
        <w:jc w:val="left"/>
      </w:pPr>
      <w:r>
        <w:t>Výzva, kterou představuje problematika sluchových ztrát, stála</w:t>
      </w:r>
      <w:r w:rsidR="00E4187D">
        <w:t xml:space="preserve"> již v popředí zájmu mnoha světových výzkumných pracovišť. Například </w:t>
      </w:r>
      <w:r>
        <w:t xml:space="preserve">v </w:t>
      </w:r>
      <w:r w:rsidR="00E4187D">
        <w:t xml:space="preserve">Institute of </w:t>
      </w:r>
      <w:proofErr w:type="spellStart"/>
      <w:r w:rsidR="00E4187D">
        <w:t>Medicine</w:t>
      </w:r>
      <w:proofErr w:type="spellEnd"/>
      <w:r w:rsidR="00E4187D">
        <w:t xml:space="preserve"> and </w:t>
      </w:r>
      <w:proofErr w:type="spellStart"/>
      <w:r w:rsidR="00E4187D">
        <w:t>National</w:t>
      </w:r>
      <w:proofErr w:type="spellEnd"/>
      <w:r w:rsidR="00E4187D">
        <w:t xml:space="preserve"> </w:t>
      </w:r>
      <w:proofErr w:type="spellStart"/>
      <w:r w:rsidR="00E4187D">
        <w:t>Academy</w:t>
      </w:r>
      <w:proofErr w:type="spellEnd"/>
      <w:r w:rsidR="00E4187D">
        <w:t xml:space="preserve"> of Sciences (IOM/NAS) ve Spojených státech </w:t>
      </w:r>
      <w:r>
        <w:t xml:space="preserve">byly diskutovány zdravotní následky </w:t>
      </w:r>
      <w:r w:rsidR="00E4187D">
        <w:t>poškození sluchu a to včetně vztahu m</w:t>
      </w:r>
      <w:r>
        <w:t>ezi ztrátou sluchu a zrychleným</w:t>
      </w:r>
      <w:r w:rsidR="00E4187D">
        <w:t xml:space="preserve"> rozvojem kognitivních poruch a demencí</w:t>
      </w:r>
      <w:r w:rsidR="00E4187D">
        <w:rPr>
          <w:rStyle w:val="Ukotvenpoznmkypodarou"/>
        </w:rPr>
        <w:footnoteReference w:id="9"/>
      </w:r>
      <w:r w:rsidR="00E4187D">
        <w:t xml:space="preserve">. US </w:t>
      </w:r>
      <w:proofErr w:type="spellStart"/>
      <w:r w:rsidR="00E4187D">
        <w:t>National</w:t>
      </w:r>
      <w:proofErr w:type="spellEnd"/>
      <w:r w:rsidR="00E4187D">
        <w:t xml:space="preserve"> </w:t>
      </w:r>
      <w:proofErr w:type="spellStart"/>
      <w:r w:rsidR="00E4187D">
        <w:t>Academies</w:t>
      </w:r>
      <w:proofErr w:type="spellEnd"/>
      <w:r w:rsidR="00E4187D">
        <w:t xml:space="preserve"> pak vytvořily konsenzuální studie vztahující se k různým aspektům ztrát sl</w:t>
      </w:r>
      <w:r>
        <w:t>uchu, jako např. hluk a vojenská</w:t>
      </w:r>
      <w:r w:rsidR="00E4187D">
        <w:t xml:space="preserve"> služba; způsobilost k dávkám sociálního zabezpeč</w:t>
      </w:r>
      <w:r>
        <w:t>e</w:t>
      </w:r>
      <w:r w:rsidR="00E4187D">
        <w:t>ní; a přínos výzkumných programů.</w:t>
      </w:r>
      <w:r w:rsidR="00E4187D">
        <w:rPr>
          <w:i/>
        </w:rPr>
        <w:t xml:space="preserve"> </w:t>
      </w:r>
      <w:r w:rsidR="00E4187D">
        <w:t xml:space="preserve"> </w:t>
      </w:r>
    </w:p>
    <w:p w14:paraId="3FF04F89" w14:textId="77777777" w:rsidR="00473C6F" w:rsidRDefault="00AB367D">
      <w:pPr>
        <w:spacing w:after="73"/>
        <w:ind w:left="0" w:right="35" w:firstLine="0"/>
      </w:pPr>
      <w:r>
        <w:t>Je nezbytné, aby se prosadila celosvětově koordinovaná snaha</w:t>
      </w:r>
      <w:r w:rsidR="00E4187D">
        <w:t xml:space="preserve"> o rozšíření povědomí o problematice poškození sluchu a současně byla zavedena i příslušná praktická opatření. K účinné propagaci a prosazení těchto opatření je nezbytná součinnost s národními vládami, mezinárodními agenturami, nevládními organizacemi i příslušnými profesními organizacemi.  </w:t>
      </w:r>
    </w:p>
    <w:p w14:paraId="01280EC5" w14:textId="77777777" w:rsidR="00473C6F" w:rsidRDefault="00E4187D">
      <w:pPr>
        <w:pStyle w:val="Heading1"/>
        <w:ind w:left="0" w:hanging="370"/>
      </w:pPr>
      <w:r>
        <w:t xml:space="preserve">Doporučení IAMP </w:t>
      </w:r>
    </w:p>
    <w:p w14:paraId="78CB406E" w14:textId="77777777" w:rsidR="00473C6F" w:rsidRDefault="00E4187D">
      <w:pPr>
        <w:spacing w:after="70"/>
        <w:ind w:left="0" w:right="35" w:firstLine="0"/>
      </w:pPr>
      <w:r>
        <w:t xml:space="preserve">IAMP </w:t>
      </w:r>
      <w:r w:rsidR="00AB367D">
        <w:t>(</w:t>
      </w:r>
      <w:proofErr w:type="spellStart"/>
      <w:r w:rsidR="00AB367D">
        <w:t>Interakademický</w:t>
      </w:r>
      <w:proofErr w:type="spellEnd"/>
      <w:r w:rsidR="00AB367D">
        <w:t xml:space="preserve"> Lékařský Panel</w:t>
      </w:r>
      <w:r w:rsidR="00685931">
        <w:t>)</w:t>
      </w:r>
      <w:r w:rsidR="00AB367D">
        <w:t xml:space="preserve"> </w:t>
      </w:r>
      <w:r>
        <w:t>jednoznačně podporuje závěry odvozené z dosavadních studií výzkumných pracovišť členských akademií</w:t>
      </w:r>
      <w:r w:rsidR="00AB367D">
        <w:t xml:space="preserve"> s tím</w:t>
      </w:r>
      <w:r>
        <w:t>, že je potřeba stanovit globální dopad ztrát sluchu a globální výzvy, které z této situace vyplývají, včetně potřeb výzkumu a s</w:t>
      </w:r>
      <w:r w:rsidR="00AB367D">
        <w:t>lužeb, a to zejména budoucího roz</w:t>
      </w:r>
      <w:r>
        <w:t>voje nízkonákladových služeb pro prevenci, léčbu a rehabilitaci. Je zřejmě, že bude třeba integrované strategie pro zavedení účinných a efektivních celosvětových aktivit, aby došlo ke zlepšení života lidí se ztrátou sluchu.</w:t>
      </w:r>
    </w:p>
    <w:p w14:paraId="2873A3E4" w14:textId="77777777" w:rsidR="00473C6F" w:rsidRDefault="00685931">
      <w:pPr>
        <w:spacing w:after="101"/>
        <w:ind w:left="0" w:right="35" w:firstLine="0"/>
      </w:pPr>
      <w:r>
        <w:t>Aby mohl být důsledně řešen tak významný problém</w:t>
      </w:r>
      <w:r w:rsidR="00E4187D">
        <w:t xml:space="preserve"> jaký představuje ztráta sluchu, bude potřeba se věnovat tomuto problému globálně skrze sérii postupných opatření. Proto IAMP a jeho členské akademie nyní žádají národní vlády a další poskytovatele zdravotní péče:  </w:t>
      </w:r>
    </w:p>
    <w:p w14:paraId="77631E71" w14:textId="77777777" w:rsidR="00473C6F" w:rsidRDefault="00E4187D">
      <w:pPr>
        <w:numPr>
          <w:ilvl w:val="0"/>
          <w:numId w:val="2"/>
        </w:numPr>
        <w:ind w:right="35"/>
      </w:pPr>
      <w:r>
        <w:t>Zlepšit poskytování zdravotní péče</w:t>
      </w:r>
    </w:p>
    <w:p w14:paraId="3093D33B" w14:textId="77777777" w:rsidR="00473C6F" w:rsidRDefault="00E4187D">
      <w:pPr>
        <w:numPr>
          <w:ilvl w:val="1"/>
          <w:numId w:val="2"/>
        </w:numPr>
        <w:ind w:right="35"/>
      </w:pPr>
      <w:r>
        <w:t>Posílit programy pro ušní a sluchovou péči v primární zdravotní péči a to včetně tréninku zdravotnický</w:t>
      </w:r>
      <w:r w:rsidR="00685931">
        <w:t>ch pracovníků, především v NSPZ</w:t>
      </w:r>
      <w:r>
        <w:t xml:space="preserve">; </w:t>
      </w:r>
    </w:p>
    <w:p w14:paraId="321B53C7" w14:textId="77777777" w:rsidR="00473C6F" w:rsidRDefault="00E4187D">
      <w:pPr>
        <w:numPr>
          <w:ilvl w:val="1"/>
          <w:numId w:val="2"/>
        </w:numPr>
        <w:ind w:right="35"/>
      </w:pPr>
      <w:r>
        <w:t xml:space="preserve">Vyvinout a zavést opatření pro předcházení některých ztrát sluchu – </w:t>
      </w:r>
      <w:r w:rsidR="00685931">
        <w:t>např. pomocí očkování a sníženého užívání</w:t>
      </w:r>
      <w:r>
        <w:t xml:space="preserve"> </w:t>
      </w:r>
      <w:proofErr w:type="spellStart"/>
      <w:r>
        <w:t>ototoxických</w:t>
      </w:r>
      <w:proofErr w:type="spellEnd"/>
      <w:r>
        <w:t xml:space="preserve"> léků, kde je to možné; </w:t>
      </w:r>
    </w:p>
    <w:p w14:paraId="5D69CEDC" w14:textId="77777777" w:rsidR="00473C6F" w:rsidRDefault="00E4187D">
      <w:pPr>
        <w:numPr>
          <w:ilvl w:val="1"/>
          <w:numId w:val="2"/>
        </w:numPr>
        <w:ind w:right="35"/>
      </w:pPr>
      <w:r>
        <w:lastRenderedPageBreak/>
        <w:t xml:space="preserve">Vyvinout a zavést </w:t>
      </w:r>
      <w:r w:rsidR="00E40B2A">
        <w:t>programy pro včasnou diagnózu</w:t>
      </w:r>
      <w:r>
        <w:t xml:space="preserve"> sluchových ztrát u dětí, např. pomocí celoplošné sluchového screeningu přímo v porodnicích (v nemocnicích či mimo nemocnice) nebo kombinací sluchového screeningu s očkovacími programy v prvních měsících života; </w:t>
      </w:r>
    </w:p>
    <w:p w14:paraId="3F31B865" w14:textId="77777777" w:rsidR="00473C6F" w:rsidRDefault="00685931">
      <w:pPr>
        <w:numPr>
          <w:ilvl w:val="1"/>
          <w:numId w:val="2"/>
        </w:numPr>
        <w:ind w:right="35"/>
      </w:pPr>
      <w:r>
        <w:t>Podpořit programy, které uči</w:t>
      </w:r>
      <w:r w:rsidR="00E4187D">
        <w:t xml:space="preserve">ní kochleární implantáty cenově i jinak dostupné pro všechny, kteří by z této technologie mohli mít prospěch. </w:t>
      </w:r>
    </w:p>
    <w:p w14:paraId="717BD8CC" w14:textId="77777777" w:rsidR="00473C6F" w:rsidRDefault="00E4187D">
      <w:pPr>
        <w:numPr>
          <w:ilvl w:val="0"/>
          <w:numId w:val="2"/>
        </w:numPr>
        <w:ind w:right="35"/>
      </w:pPr>
      <w:r>
        <w:t xml:space="preserve">Zajistit veřejná zdravotnická opatření zabývající se příčinami ztrát sluchu: </w:t>
      </w:r>
    </w:p>
    <w:p w14:paraId="37390FB5" w14:textId="77777777" w:rsidR="00473C6F" w:rsidRDefault="00E4187D">
      <w:pPr>
        <w:numPr>
          <w:ilvl w:val="1"/>
          <w:numId w:val="2"/>
        </w:numPr>
        <w:ind w:right="35"/>
      </w:pPr>
      <w:r>
        <w:t xml:space="preserve">Podporovat prevenci infekcí – včetně očkování </w:t>
      </w:r>
    </w:p>
    <w:p w14:paraId="231C6780" w14:textId="77777777" w:rsidR="00473C6F" w:rsidRDefault="00E4187D">
      <w:pPr>
        <w:spacing w:after="0"/>
        <w:ind w:left="720" w:right="35" w:firstLine="0"/>
      </w:pPr>
      <w:r>
        <w:t xml:space="preserve">– spolu s dostupností jednoduché a levné preventivní hygieny a základních léčebných opatření zaměřených na snížení středoušních infekcí; </w:t>
      </w:r>
    </w:p>
    <w:p w14:paraId="13BB5DB0" w14:textId="77777777" w:rsidR="00473C6F" w:rsidRDefault="00E4187D">
      <w:pPr>
        <w:numPr>
          <w:ilvl w:val="1"/>
          <w:numId w:val="2"/>
        </w:numPr>
        <w:spacing w:after="0"/>
        <w:ind w:right="35"/>
      </w:pPr>
      <w:r>
        <w:t xml:space="preserve">Zvýšit povědomí, znalosti a dovednosti v přístupu veřejného zdravotnictví k prevenci a rehabilitaci ztrát </w:t>
      </w:r>
      <w:r w:rsidR="00685931">
        <w:t>sluchu, především v NSPZ</w:t>
      </w:r>
      <w:r>
        <w:t xml:space="preserve">, a to skrze široce dostupné tréninkové kurzy; </w:t>
      </w:r>
    </w:p>
    <w:p w14:paraId="1605E7A8" w14:textId="77777777" w:rsidR="00473C6F" w:rsidRDefault="00E4187D">
      <w:pPr>
        <w:numPr>
          <w:ilvl w:val="1"/>
          <w:numId w:val="2"/>
        </w:numPr>
        <w:spacing w:after="8"/>
        <w:ind w:right="35"/>
      </w:pPr>
      <w:r>
        <w:t xml:space="preserve">Snížit hlukovou expozici. </w:t>
      </w:r>
    </w:p>
    <w:p w14:paraId="7B94CCC7" w14:textId="77777777" w:rsidR="00473C6F" w:rsidRDefault="00E4187D">
      <w:pPr>
        <w:spacing w:after="10" w:line="259" w:lineRule="auto"/>
        <w:ind w:left="720" w:right="0" w:firstLine="0"/>
        <w:jc w:val="left"/>
      </w:pPr>
      <w:r>
        <w:t xml:space="preserve"> </w:t>
      </w:r>
    </w:p>
    <w:p w14:paraId="1680E9B4" w14:textId="77777777" w:rsidR="00473C6F" w:rsidRDefault="00E4187D">
      <w:pPr>
        <w:numPr>
          <w:ilvl w:val="0"/>
          <w:numId w:val="2"/>
        </w:numPr>
        <w:ind w:right="35"/>
      </w:pPr>
      <w:r>
        <w:t xml:space="preserve">Věnovat se cíleně ztrátě sluchu u dětí i dospělých jedinců a současně si uvědomovat rozdíly mezi těmito skupinami: </w:t>
      </w:r>
    </w:p>
    <w:p w14:paraId="6A925828" w14:textId="77777777" w:rsidR="00473C6F" w:rsidRDefault="00E4187D">
      <w:pPr>
        <w:numPr>
          <w:ilvl w:val="1"/>
          <w:numId w:val="2"/>
        </w:numPr>
        <w:spacing w:after="0"/>
        <w:ind w:right="35"/>
      </w:pPr>
      <w:r>
        <w:t>Vyvinout a zavést infrastrukturu, která</w:t>
      </w:r>
      <w:r w:rsidR="00685931">
        <w:t xml:space="preserve"> podpoří větší povědomí, dřívější</w:t>
      </w:r>
      <w:r>
        <w:t xml:space="preserve"> identifikaci a efektivnější zvládnutí ztrát sluchu u starších jedinců; </w:t>
      </w:r>
    </w:p>
    <w:p w14:paraId="0B4CF876" w14:textId="77777777" w:rsidR="00473C6F" w:rsidRDefault="00E4187D">
      <w:pPr>
        <w:numPr>
          <w:ilvl w:val="1"/>
          <w:numId w:val="2"/>
        </w:numPr>
        <w:spacing w:after="0"/>
        <w:ind w:right="35"/>
      </w:pPr>
      <w:r>
        <w:t xml:space="preserve">Vyvinout a zavést specializované zdravotnické programy pro zvládání ztrát sluchu u dětí, </w:t>
      </w:r>
      <w:r w:rsidR="00685931">
        <w:t>které budou fungovat v součinnosti</w:t>
      </w:r>
      <w:r>
        <w:t xml:space="preserve"> s příslušnými vzdělávacími programy. </w:t>
      </w:r>
    </w:p>
    <w:p w14:paraId="22E478FF" w14:textId="77777777" w:rsidR="00473C6F" w:rsidRDefault="00E4187D">
      <w:pPr>
        <w:spacing w:after="13" w:line="259" w:lineRule="auto"/>
        <w:ind w:left="720" w:right="0" w:firstLine="0"/>
        <w:jc w:val="left"/>
      </w:pPr>
      <w:r>
        <w:t xml:space="preserve"> </w:t>
      </w:r>
    </w:p>
    <w:p w14:paraId="320295F8" w14:textId="77777777" w:rsidR="00473C6F" w:rsidRDefault="00E4187D">
      <w:pPr>
        <w:numPr>
          <w:ilvl w:val="0"/>
          <w:numId w:val="2"/>
        </w:numPr>
        <w:ind w:right="35"/>
      </w:pPr>
      <w:r>
        <w:t xml:space="preserve">Věnovat se širším společenským potřebám, včetně vzdělávacího procesu: </w:t>
      </w:r>
    </w:p>
    <w:p w14:paraId="284021F0" w14:textId="77777777" w:rsidR="00473C6F" w:rsidRDefault="00E4187D">
      <w:pPr>
        <w:numPr>
          <w:ilvl w:val="1"/>
          <w:numId w:val="2"/>
        </w:numPr>
        <w:ind w:right="35"/>
      </w:pPr>
      <w:r>
        <w:t xml:space="preserve">Zavést vzdělávací programy pro děti se ztrátou sluchu, jejich příbuzné a komunity, s cílem dosáhnout orální komunikace, kde je to možné; kde to možné není, měly by být k dispozici alternativní komunikační techniky; </w:t>
      </w:r>
    </w:p>
    <w:p w14:paraId="3F62BBAB" w14:textId="77777777" w:rsidR="00473C6F" w:rsidRDefault="00E4187D">
      <w:pPr>
        <w:numPr>
          <w:ilvl w:val="1"/>
          <w:numId w:val="2"/>
        </w:numPr>
        <w:spacing w:after="0"/>
        <w:ind w:right="35"/>
      </w:pPr>
      <w:r>
        <w:t xml:space="preserve">Zavést vzdělávací programy zaměřené na integraci dětí se sluchovou ztrátou do normálního školního systému s perspektivou stejného výsledného vzdělání jako u slyšících dětí; </w:t>
      </w:r>
    </w:p>
    <w:p w14:paraId="49C673E6" w14:textId="77777777" w:rsidR="00473C6F" w:rsidRDefault="00E4187D">
      <w:pPr>
        <w:numPr>
          <w:ilvl w:val="1"/>
          <w:numId w:val="2"/>
        </w:numPr>
        <w:ind w:right="35"/>
      </w:pPr>
      <w:r>
        <w:t xml:space="preserve">Zavést vzdělávací programy, které povedou k přijetí osob se ztrátou sluchu a jinými hendikepy za plnohodnotné členy společnosti; </w:t>
      </w:r>
    </w:p>
    <w:p w14:paraId="5D592428" w14:textId="77777777" w:rsidR="00473C6F" w:rsidRDefault="00E4187D">
      <w:pPr>
        <w:numPr>
          <w:ilvl w:val="1"/>
          <w:numId w:val="2"/>
        </w:numPr>
        <w:spacing w:after="0"/>
        <w:ind w:right="35"/>
      </w:pPr>
      <w:r>
        <w:t xml:space="preserve">Vyvinout a zavést technickou podporu ve veřejném prostoru – jako jsou např. indukční smyčky a skryté titulky. </w:t>
      </w:r>
    </w:p>
    <w:p w14:paraId="3FCCF80F" w14:textId="77777777" w:rsidR="00473C6F" w:rsidRDefault="00E4187D">
      <w:pPr>
        <w:spacing w:after="10" w:line="259" w:lineRule="auto"/>
        <w:ind w:left="720" w:right="0" w:firstLine="0"/>
        <w:jc w:val="left"/>
      </w:pPr>
      <w:r>
        <w:t xml:space="preserve"> </w:t>
      </w:r>
    </w:p>
    <w:p w14:paraId="35553602" w14:textId="77777777" w:rsidR="00473C6F" w:rsidRDefault="00E4187D">
      <w:pPr>
        <w:numPr>
          <w:ilvl w:val="0"/>
          <w:numId w:val="2"/>
        </w:numPr>
        <w:ind w:right="35"/>
      </w:pPr>
      <w:r>
        <w:t xml:space="preserve">Zajistit vývoj a inovační programy zaměřené na priority týkající se ztrát sluchu: </w:t>
      </w:r>
    </w:p>
    <w:p w14:paraId="2105CD69" w14:textId="77777777" w:rsidR="00473C6F" w:rsidRDefault="00E4187D">
      <w:pPr>
        <w:numPr>
          <w:ilvl w:val="1"/>
          <w:numId w:val="2"/>
        </w:numPr>
        <w:ind w:right="35"/>
      </w:pPr>
      <w:r>
        <w:lastRenderedPageBreak/>
        <w:t xml:space="preserve">Podporovat rozvoj screeningu a diagnostických technik pro zlepšení včasné diagnostiky sluchových ztrát u dětí; </w:t>
      </w:r>
    </w:p>
    <w:p w14:paraId="76A5F116" w14:textId="77777777" w:rsidR="00473C6F" w:rsidRDefault="00E4187D">
      <w:pPr>
        <w:numPr>
          <w:ilvl w:val="1"/>
          <w:numId w:val="2"/>
        </w:numPr>
        <w:ind w:right="35"/>
      </w:pPr>
      <w:r>
        <w:t>Podporovat průmyslový vývoj a inovace zaměřené na potřeby lidí se ztrátami sluhu, včetně cenově dostupných a současn</w:t>
      </w:r>
      <w:r w:rsidR="00E40B2A">
        <w:t>ě vysoce kvalitních sluchadel</w:t>
      </w:r>
      <w:r>
        <w:t>, stejně jako nalézt řešení, aby</w:t>
      </w:r>
      <w:r w:rsidR="00685931">
        <w:t xml:space="preserve"> se snížila cena baterií v NSPZ</w:t>
      </w:r>
      <w:r>
        <w:t xml:space="preserve">; </w:t>
      </w:r>
    </w:p>
    <w:p w14:paraId="571EBED2" w14:textId="77777777" w:rsidR="00473C6F" w:rsidRDefault="00E4187D">
      <w:pPr>
        <w:numPr>
          <w:ilvl w:val="1"/>
          <w:numId w:val="2"/>
        </w:numPr>
        <w:spacing w:after="190"/>
        <w:ind w:right="35"/>
      </w:pPr>
      <w:r>
        <w:t>Zvýšit objem aplikovaného výzkumu ve třech oblastech (včetně odpovídající výzkumné kapacity): základní výzkum patofyziologických mechanismů jednotlivých etiologií vedoucích</w:t>
      </w:r>
      <w:r w:rsidR="00685931">
        <w:t xml:space="preserve"> ke ztrátě sluchu za účelem snaz</w:t>
      </w:r>
      <w:r>
        <w:t xml:space="preserve">ší diagnostiky a léčby; výzkum funkční regenerace struktur vnitřního ucha; a klinický a epidemiologický výzkum onemocnění sluchu. </w:t>
      </w:r>
    </w:p>
    <w:p w14:paraId="518B526F" w14:textId="77777777" w:rsidR="00473C6F" w:rsidRDefault="00E4187D">
      <w:pPr>
        <w:spacing w:after="0" w:line="259" w:lineRule="auto"/>
        <w:ind w:left="0" w:right="0" w:hanging="10"/>
      </w:pPr>
      <w:r>
        <w:rPr>
          <w:b/>
        </w:rPr>
        <w:t>Ztráta sluchu je</w:t>
      </w:r>
      <w:r w:rsidR="00685931">
        <w:rPr>
          <w:b/>
        </w:rPr>
        <w:t xml:space="preserve"> běžná a přitom často léčitelná příčina funkčních a ko</w:t>
      </w:r>
      <w:r>
        <w:rPr>
          <w:b/>
        </w:rPr>
        <w:t xml:space="preserve">gnitivních postižení. Věnovat se důsledně ztrátám sluchu představuje světovou zdravotnickou výzvu, která si žádá nový výzkum a klinické zdroje, vzdělávací programy a mezioborovou spolupráci. Je proto nutné zachovat společné úsilí zaměřené na každou z pěti výše popsaných klíčových oblastí, abychom ve výsledku zlepšili životy všech, kteří jsou ztrátou sluchu postiženi. </w:t>
      </w:r>
    </w:p>
    <w:tbl>
      <w:tblPr>
        <w:tblW w:w="4461" w:type="dxa"/>
        <w:tblInd w:w="11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147" w:type="dxa"/>
        </w:tblCellMar>
        <w:tblLook w:val="04A0" w:firstRow="1" w:lastRow="0" w:firstColumn="1" w:lastColumn="0" w:noHBand="0" w:noVBand="1"/>
      </w:tblPr>
      <w:tblGrid>
        <w:gridCol w:w="4461"/>
      </w:tblGrid>
      <w:tr w:rsidR="00473C6F" w14:paraId="1BE739FA" w14:textId="77777777" w:rsidTr="00994FB3">
        <w:trPr>
          <w:trHeight w:val="10363"/>
        </w:trPr>
        <w:tc>
          <w:tcPr>
            <w:tcW w:w="44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left w:w="147" w:type="dxa"/>
            </w:tcMar>
            <w:vAlign w:val="center"/>
          </w:tcPr>
          <w:p w14:paraId="68E6457D" w14:textId="77777777" w:rsidR="00473C6F" w:rsidRDefault="00E4187D" w:rsidP="00994FB3">
            <w:pPr>
              <w:spacing w:after="39" w:line="240" w:lineRule="auto"/>
              <w:ind w:left="0" w:right="41" w:firstLine="0"/>
            </w:pPr>
            <w:r w:rsidRPr="00994FB3">
              <w:rPr>
                <w:i/>
                <w:sz w:val="18"/>
              </w:rPr>
              <w:lastRenderedPageBreak/>
              <w:t>Toto prohlášení bylo připraveno s pomocí expertní pracovní skupiny, která byla přizvána k účas</w:t>
            </w:r>
            <w:r w:rsidR="00685931">
              <w:rPr>
                <w:i/>
                <w:sz w:val="18"/>
              </w:rPr>
              <w:t xml:space="preserve">ti IAMP výkonným výborem. </w:t>
            </w:r>
            <w:r w:rsidRPr="00994FB3">
              <w:rPr>
                <w:i/>
                <w:sz w:val="18"/>
              </w:rPr>
              <w:t xml:space="preserve"> Členové pracovní skupiny se účastnili jako jednotlivci a IAMP by jim chtěla poděkovat za jejich příspěvky. </w:t>
            </w:r>
          </w:p>
          <w:p w14:paraId="6504AC17" w14:textId="77777777" w:rsidR="00473C6F" w:rsidRDefault="00685931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proofErr w:type="spellStart"/>
            <w:r>
              <w:rPr>
                <w:i/>
                <w:sz w:val="18"/>
              </w:rPr>
              <w:t>Detlev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Ganten</w:t>
            </w:r>
            <w:proofErr w:type="spellEnd"/>
            <w:r>
              <w:rPr>
                <w:i/>
                <w:sz w:val="18"/>
              </w:rPr>
              <w:t>, Německo (spolupředseda</w:t>
            </w:r>
            <w:r w:rsidR="00E4187D" w:rsidRPr="00994FB3">
              <w:rPr>
                <w:i/>
                <w:sz w:val="18"/>
              </w:rPr>
              <w:t xml:space="preserve">, IAMP)  </w:t>
            </w:r>
          </w:p>
          <w:p w14:paraId="7F4AECD5" w14:textId="77777777" w:rsidR="00473C6F" w:rsidRDefault="00685931" w:rsidP="00994FB3">
            <w:pPr>
              <w:numPr>
                <w:ilvl w:val="0"/>
                <w:numId w:val="3"/>
              </w:numPr>
              <w:spacing w:after="39" w:line="237" w:lineRule="auto"/>
              <w:ind w:right="0"/>
              <w:jc w:val="left"/>
            </w:pPr>
            <w:r>
              <w:rPr>
                <w:i/>
                <w:sz w:val="18"/>
              </w:rPr>
              <w:t xml:space="preserve">George </w:t>
            </w:r>
            <w:proofErr w:type="spellStart"/>
            <w:r>
              <w:rPr>
                <w:i/>
                <w:sz w:val="18"/>
              </w:rPr>
              <w:t>Griffin</w:t>
            </w:r>
            <w:proofErr w:type="spellEnd"/>
            <w:r>
              <w:rPr>
                <w:i/>
                <w:sz w:val="18"/>
              </w:rPr>
              <w:t>, Velká Británie (spolupředseda IAMP výbor pro výzvy</w:t>
            </w:r>
            <w:r w:rsidR="00E4187D" w:rsidRPr="00994FB3">
              <w:rPr>
                <w:i/>
                <w:sz w:val="18"/>
              </w:rPr>
              <w:t xml:space="preserve">) </w:t>
            </w:r>
          </w:p>
          <w:p w14:paraId="786C9898" w14:textId="77777777" w:rsidR="00473C6F" w:rsidRDefault="00685931" w:rsidP="00994FB3">
            <w:pPr>
              <w:numPr>
                <w:ilvl w:val="0"/>
                <w:numId w:val="3"/>
              </w:numPr>
              <w:spacing w:after="2" w:line="237" w:lineRule="auto"/>
              <w:ind w:right="0"/>
              <w:jc w:val="left"/>
            </w:pPr>
            <w:r>
              <w:rPr>
                <w:i/>
                <w:sz w:val="18"/>
              </w:rPr>
              <w:t>Manfred Gross, Německo, (Sekretář</w:t>
            </w:r>
            <w:r w:rsidR="009E72E7">
              <w:rPr>
                <w:i/>
                <w:sz w:val="18"/>
              </w:rPr>
              <w:t>, IAMP Pracovní skupina pro ztrátu sluchu</w:t>
            </w:r>
            <w:r w:rsidR="00E4187D" w:rsidRPr="00994FB3">
              <w:rPr>
                <w:i/>
                <w:sz w:val="18"/>
              </w:rPr>
              <w:t xml:space="preserve">) </w:t>
            </w:r>
          </w:p>
          <w:p w14:paraId="7926EABD" w14:textId="77777777" w:rsidR="00473C6F" w:rsidRDefault="00E4187D" w:rsidP="00994FB3">
            <w:pPr>
              <w:spacing w:after="10" w:line="240" w:lineRule="auto"/>
              <w:ind w:left="0" w:right="40" w:firstLine="0"/>
            </w:pPr>
            <w:r w:rsidRPr="00994FB3">
              <w:rPr>
                <w:i/>
                <w:sz w:val="18"/>
              </w:rPr>
              <w:t>Následující odb</w:t>
            </w:r>
            <w:r w:rsidR="009E72E7">
              <w:rPr>
                <w:i/>
                <w:sz w:val="18"/>
              </w:rPr>
              <w:t>orníci nominovaní členskými akademiemi IAMP</w:t>
            </w:r>
            <w:r w:rsidRPr="00994FB3">
              <w:rPr>
                <w:i/>
                <w:sz w:val="18"/>
              </w:rPr>
              <w:t xml:space="preserve"> utvořili pracovní skupinu, která pomohla vytvořit tento dokument.   </w:t>
            </w:r>
          </w:p>
          <w:p w14:paraId="650847AC" w14:textId="77777777" w:rsidR="00473C6F" w:rsidRDefault="00E4187D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proofErr w:type="spellStart"/>
            <w:r w:rsidRPr="00994FB3">
              <w:rPr>
                <w:i/>
                <w:sz w:val="18"/>
              </w:rPr>
              <w:t>Vicente</w:t>
            </w:r>
            <w:proofErr w:type="spellEnd"/>
            <w:r w:rsidRPr="00994FB3">
              <w:rPr>
                <w:i/>
                <w:sz w:val="18"/>
              </w:rPr>
              <w:t xml:space="preserve"> G. Diamante, Argentina </w:t>
            </w:r>
          </w:p>
          <w:p w14:paraId="09B28ACC" w14:textId="77777777" w:rsidR="00473C6F" w:rsidRDefault="009E72E7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>
              <w:rPr>
                <w:i/>
                <w:sz w:val="18"/>
              </w:rPr>
              <w:t xml:space="preserve">Ricardo F. </w:t>
            </w:r>
            <w:proofErr w:type="spellStart"/>
            <w:r>
              <w:rPr>
                <w:i/>
                <w:sz w:val="18"/>
              </w:rPr>
              <w:t>Bento</w:t>
            </w:r>
            <w:proofErr w:type="spellEnd"/>
            <w:r>
              <w:rPr>
                <w:i/>
                <w:sz w:val="18"/>
              </w:rPr>
              <w:t xml:space="preserve"> , </w:t>
            </w:r>
            <w:proofErr w:type="spellStart"/>
            <w:r>
              <w:rPr>
                <w:i/>
                <w:sz w:val="18"/>
              </w:rPr>
              <w:t>Braziilie</w:t>
            </w:r>
            <w:proofErr w:type="spellEnd"/>
            <w:r w:rsidR="00E4187D" w:rsidRPr="00994FB3">
              <w:rPr>
                <w:i/>
                <w:sz w:val="18"/>
              </w:rPr>
              <w:t xml:space="preserve">  </w:t>
            </w:r>
          </w:p>
          <w:p w14:paraId="21836A82" w14:textId="77777777" w:rsidR="00473C6F" w:rsidRDefault="009E72E7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proofErr w:type="spellStart"/>
            <w:r>
              <w:rPr>
                <w:i/>
                <w:sz w:val="18"/>
              </w:rPr>
              <w:t>Gao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Zhiqiang</w:t>
            </w:r>
            <w:proofErr w:type="spellEnd"/>
            <w:r>
              <w:rPr>
                <w:i/>
                <w:sz w:val="18"/>
              </w:rPr>
              <w:t>, Čí</w:t>
            </w:r>
            <w:r w:rsidR="00E4187D" w:rsidRPr="00994FB3">
              <w:rPr>
                <w:i/>
                <w:sz w:val="18"/>
              </w:rPr>
              <w:t xml:space="preserve">na  </w:t>
            </w:r>
          </w:p>
          <w:p w14:paraId="4999D21F" w14:textId="77777777" w:rsidR="00473C6F" w:rsidRDefault="009E72E7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proofErr w:type="spellStart"/>
            <w:r>
              <w:rPr>
                <w:i/>
                <w:sz w:val="18"/>
              </w:rPr>
              <w:t>Alejandro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Torres</w:t>
            </w:r>
            <w:proofErr w:type="spellEnd"/>
            <w:r>
              <w:rPr>
                <w:i/>
                <w:sz w:val="18"/>
              </w:rPr>
              <w:t xml:space="preserve"> Fortuny, K</w:t>
            </w:r>
            <w:r w:rsidR="00E4187D" w:rsidRPr="00994FB3">
              <w:rPr>
                <w:i/>
                <w:sz w:val="18"/>
              </w:rPr>
              <w:t xml:space="preserve">uba </w:t>
            </w:r>
          </w:p>
          <w:p w14:paraId="2D1EC162" w14:textId="77777777" w:rsidR="00473C6F" w:rsidRDefault="009E72E7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>
              <w:rPr>
                <w:i/>
                <w:sz w:val="18"/>
              </w:rPr>
              <w:t>Josef Syka, Česká republika</w:t>
            </w:r>
            <w:r w:rsidR="00E4187D" w:rsidRPr="00994FB3">
              <w:rPr>
                <w:i/>
                <w:sz w:val="18"/>
              </w:rPr>
              <w:t xml:space="preserve"> </w:t>
            </w:r>
            <w:r w:rsidR="00E4187D" w:rsidRPr="00994FB3">
              <w:rPr>
                <w:i/>
                <w:sz w:val="18"/>
              </w:rPr>
              <w:tab/>
              <w:t xml:space="preserve"> </w:t>
            </w:r>
          </w:p>
          <w:p w14:paraId="0FEDA971" w14:textId="77777777" w:rsidR="00473C6F" w:rsidRDefault="009E72E7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>
              <w:rPr>
                <w:i/>
                <w:sz w:val="18"/>
              </w:rPr>
              <w:t>Claude-</w:t>
            </w:r>
            <w:proofErr w:type="spellStart"/>
            <w:r>
              <w:rPr>
                <w:i/>
                <w:sz w:val="18"/>
              </w:rPr>
              <w:t>Henri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Chouard</w:t>
            </w:r>
            <w:proofErr w:type="spellEnd"/>
            <w:r>
              <w:rPr>
                <w:i/>
                <w:sz w:val="18"/>
              </w:rPr>
              <w:t>, Francie</w:t>
            </w:r>
            <w:r w:rsidR="00E4187D" w:rsidRPr="00994FB3">
              <w:rPr>
                <w:i/>
                <w:sz w:val="18"/>
              </w:rPr>
              <w:t xml:space="preserve">  </w:t>
            </w:r>
          </w:p>
          <w:p w14:paraId="2B8A098D" w14:textId="77777777" w:rsidR="00473C6F" w:rsidRDefault="009E72E7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>
              <w:rPr>
                <w:i/>
                <w:sz w:val="18"/>
              </w:rPr>
              <w:t xml:space="preserve">Hans-Peter </w:t>
            </w:r>
            <w:proofErr w:type="spellStart"/>
            <w:r>
              <w:rPr>
                <w:i/>
                <w:sz w:val="18"/>
              </w:rPr>
              <w:t>Zenner</w:t>
            </w:r>
            <w:proofErr w:type="spellEnd"/>
            <w:r>
              <w:rPr>
                <w:i/>
                <w:sz w:val="18"/>
              </w:rPr>
              <w:t>, Německo</w:t>
            </w:r>
          </w:p>
          <w:p w14:paraId="699D3439" w14:textId="77777777" w:rsidR="00473C6F" w:rsidRDefault="009E72E7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>
              <w:rPr>
                <w:i/>
                <w:sz w:val="18"/>
              </w:rPr>
              <w:t xml:space="preserve">Otmar </w:t>
            </w:r>
            <w:proofErr w:type="spellStart"/>
            <w:r>
              <w:rPr>
                <w:i/>
                <w:sz w:val="18"/>
              </w:rPr>
              <w:t>Schober</w:t>
            </w:r>
            <w:proofErr w:type="spellEnd"/>
            <w:r>
              <w:rPr>
                <w:i/>
                <w:sz w:val="18"/>
              </w:rPr>
              <w:t>, Německo</w:t>
            </w:r>
            <w:r w:rsidR="00E4187D" w:rsidRPr="00994FB3">
              <w:rPr>
                <w:i/>
                <w:sz w:val="18"/>
              </w:rPr>
              <w:t xml:space="preserve"> </w:t>
            </w:r>
            <w:r w:rsidR="00E4187D" w:rsidRPr="00994FB3">
              <w:rPr>
                <w:i/>
                <w:sz w:val="18"/>
              </w:rPr>
              <w:tab/>
              <w:t xml:space="preserve"> </w:t>
            </w:r>
          </w:p>
          <w:p w14:paraId="4EE94BEB" w14:textId="77777777" w:rsidR="00473C6F" w:rsidRDefault="00E4187D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 w:rsidRPr="00994FB3">
              <w:rPr>
                <w:i/>
                <w:sz w:val="18"/>
              </w:rPr>
              <w:t>A</w:t>
            </w:r>
            <w:r w:rsidR="009E72E7">
              <w:rPr>
                <w:i/>
                <w:sz w:val="18"/>
              </w:rPr>
              <w:t xml:space="preserve">nnette </w:t>
            </w:r>
            <w:proofErr w:type="spellStart"/>
            <w:r w:rsidR="009E72E7">
              <w:rPr>
                <w:i/>
                <w:sz w:val="18"/>
              </w:rPr>
              <w:t>Grüters-Kieslich</w:t>
            </w:r>
            <w:proofErr w:type="spellEnd"/>
            <w:r w:rsidR="009E72E7">
              <w:rPr>
                <w:i/>
                <w:sz w:val="18"/>
              </w:rPr>
              <w:t>, Německo</w:t>
            </w:r>
            <w:r w:rsidRPr="00994FB3">
              <w:rPr>
                <w:i/>
                <w:sz w:val="18"/>
              </w:rPr>
              <w:t xml:space="preserve"> </w:t>
            </w:r>
          </w:p>
          <w:p w14:paraId="67124EB6" w14:textId="77777777" w:rsidR="00473C6F" w:rsidRDefault="009E72E7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>
              <w:rPr>
                <w:i/>
                <w:sz w:val="18"/>
              </w:rPr>
              <w:t xml:space="preserve">Tibor </w:t>
            </w:r>
            <w:proofErr w:type="spellStart"/>
            <w:r>
              <w:rPr>
                <w:i/>
                <w:sz w:val="18"/>
              </w:rPr>
              <w:t>Zelles</w:t>
            </w:r>
            <w:proofErr w:type="spellEnd"/>
            <w:r>
              <w:rPr>
                <w:i/>
                <w:sz w:val="18"/>
              </w:rPr>
              <w:t>, Maďarsko</w:t>
            </w:r>
            <w:r w:rsidR="00E4187D" w:rsidRPr="00994FB3">
              <w:rPr>
                <w:i/>
                <w:sz w:val="18"/>
              </w:rPr>
              <w:t xml:space="preserve"> </w:t>
            </w:r>
            <w:r w:rsidR="00E4187D" w:rsidRPr="00994FB3">
              <w:rPr>
                <w:i/>
                <w:sz w:val="18"/>
              </w:rPr>
              <w:tab/>
              <w:t xml:space="preserve"> </w:t>
            </w:r>
          </w:p>
          <w:p w14:paraId="44627BE0" w14:textId="77777777" w:rsidR="00473C6F" w:rsidRDefault="00487517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>
              <w:rPr>
                <w:i/>
                <w:sz w:val="18"/>
              </w:rPr>
              <w:t xml:space="preserve">Sandra </w:t>
            </w:r>
            <w:proofErr w:type="spellStart"/>
            <w:r>
              <w:rPr>
                <w:i/>
                <w:sz w:val="18"/>
              </w:rPr>
              <w:t>Kušķe</w:t>
            </w:r>
            <w:proofErr w:type="spellEnd"/>
            <w:r>
              <w:rPr>
                <w:i/>
                <w:sz w:val="18"/>
              </w:rPr>
              <w:t>, Lotyšsko</w:t>
            </w:r>
            <w:r w:rsidR="00E4187D" w:rsidRPr="00994FB3">
              <w:rPr>
                <w:i/>
                <w:sz w:val="18"/>
              </w:rPr>
              <w:tab/>
              <w:t xml:space="preserve"> </w:t>
            </w:r>
          </w:p>
          <w:p w14:paraId="11371F76" w14:textId="77777777" w:rsidR="00473C6F" w:rsidRDefault="00E4187D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proofErr w:type="spellStart"/>
            <w:r w:rsidRPr="00994FB3">
              <w:rPr>
                <w:i/>
                <w:sz w:val="18"/>
              </w:rPr>
              <w:t>S</w:t>
            </w:r>
            <w:r w:rsidR="00E40B2A">
              <w:rPr>
                <w:i/>
                <w:sz w:val="18"/>
              </w:rPr>
              <w:t>omefun</w:t>
            </w:r>
            <w:proofErr w:type="spellEnd"/>
            <w:r w:rsidR="00E40B2A">
              <w:rPr>
                <w:i/>
                <w:sz w:val="18"/>
              </w:rPr>
              <w:t xml:space="preserve"> </w:t>
            </w:r>
            <w:proofErr w:type="spellStart"/>
            <w:r w:rsidR="00E40B2A">
              <w:rPr>
                <w:i/>
                <w:sz w:val="18"/>
              </w:rPr>
              <w:t>Oladapo</w:t>
            </w:r>
            <w:proofErr w:type="spellEnd"/>
            <w:r w:rsidR="00E40B2A">
              <w:rPr>
                <w:i/>
                <w:sz w:val="18"/>
              </w:rPr>
              <w:t xml:space="preserve"> </w:t>
            </w:r>
            <w:proofErr w:type="spellStart"/>
            <w:r w:rsidR="00E40B2A">
              <w:rPr>
                <w:i/>
                <w:sz w:val="18"/>
              </w:rPr>
              <w:t>Abayomi</w:t>
            </w:r>
            <w:proofErr w:type="spellEnd"/>
            <w:r w:rsidR="00E40B2A">
              <w:rPr>
                <w:i/>
                <w:sz w:val="18"/>
              </w:rPr>
              <w:t>, Nigé</w:t>
            </w:r>
            <w:r w:rsidR="00487517">
              <w:rPr>
                <w:i/>
                <w:sz w:val="18"/>
              </w:rPr>
              <w:t>rie</w:t>
            </w:r>
            <w:r w:rsidRPr="00994FB3">
              <w:rPr>
                <w:i/>
                <w:sz w:val="18"/>
              </w:rPr>
              <w:t xml:space="preserve"> </w:t>
            </w:r>
          </w:p>
          <w:p w14:paraId="0ABEB89A" w14:textId="77777777" w:rsidR="00473C6F" w:rsidRDefault="00487517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>
              <w:rPr>
                <w:i/>
                <w:sz w:val="18"/>
              </w:rPr>
              <w:t xml:space="preserve">Charlotte </w:t>
            </w:r>
            <w:proofErr w:type="spellStart"/>
            <w:r>
              <w:rPr>
                <w:i/>
                <w:sz w:val="18"/>
              </w:rPr>
              <w:t>Chiong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Filipiny</w:t>
            </w:r>
            <w:proofErr w:type="spellEnd"/>
          </w:p>
          <w:p w14:paraId="51BCB167" w14:textId="77777777" w:rsidR="00473C6F" w:rsidRDefault="00E4187D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proofErr w:type="spellStart"/>
            <w:r w:rsidRPr="00994FB3">
              <w:rPr>
                <w:i/>
                <w:sz w:val="18"/>
              </w:rPr>
              <w:t>Da</w:t>
            </w:r>
            <w:r w:rsidR="00487517">
              <w:rPr>
                <w:i/>
                <w:sz w:val="18"/>
              </w:rPr>
              <w:t>niël</w:t>
            </w:r>
            <w:proofErr w:type="spellEnd"/>
            <w:r w:rsidR="00487517">
              <w:rPr>
                <w:i/>
                <w:sz w:val="18"/>
              </w:rPr>
              <w:t xml:space="preserve"> C. de </w:t>
            </w:r>
            <w:proofErr w:type="spellStart"/>
            <w:r w:rsidR="00487517">
              <w:rPr>
                <w:i/>
                <w:sz w:val="18"/>
              </w:rPr>
              <w:t>Wet</w:t>
            </w:r>
            <w:proofErr w:type="spellEnd"/>
            <w:r w:rsidR="00487517">
              <w:rPr>
                <w:i/>
                <w:sz w:val="18"/>
              </w:rPr>
              <w:t xml:space="preserve"> </w:t>
            </w:r>
            <w:proofErr w:type="spellStart"/>
            <w:r w:rsidR="00487517">
              <w:rPr>
                <w:i/>
                <w:sz w:val="18"/>
              </w:rPr>
              <w:t>Swanepoel</w:t>
            </w:r>
            <w:proofErr w:type="spellEnd"/>
            <w:r w:rsidR="00487517">
              <w:rPr>
                <w:i/>
                <w:sz w:val="18"/>
              </w:rPr>
              <w:t>, Jižní Afrik</w:t>
            </w:r>
            <w:r w:rsidRPr="00994FB3">
              <w:rPr>
                <w:i/>
                <w:sz w:val="18"/>
              </w:rPr>
              <w:t xml:space="preserve">a </w:t>
            </w:r>
          </w:p>
          <w:p w14:paraId="4EEEA4DE" w14:textId="77777777" w:rsidR="00473C6F" w:rsidRDefault="00E4187D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proofErr w:type="spellStart"/>
            <w:r w:rsidRPr="00994FB3">
              <w:rPr>
                <w:i/>
                <w:sz w:val="18"/>
              </w:rPr>
              <w:t>Mohamadou</w:t>
            </w:r>
            <w:proofErr w:type="spellEnd"/>
            <w:r w:rsidRPr="00994FB3">
              <w:rPr>
                <w:i/>
                <w:sz w:val="18"/>
              </w:rPr>
              <w:t xml:space="preserve"> </w:t>
            </w:r>
            <w:proofErr w:type="spellStart"/>
            <w:r w:rsidRPr="00994FB3">
              <w:rPr>
                <w:i/>
                <w:sz w:val="18"/>
              </w:rPr>
              <w:t>Guélaye</w:t>
            </w:r>
            <w:proofErr w:type="spellEnd"/>
            <w:r w:rsidRPr="00994FB3">
              <w:rPr>
                <w:i/>
                <w:sz w:val="18"/>
              </w:rPr>
              <w:t xml:space="preserve"> </w:t>
            </w:r>
            <w:proofErr w:type="spellStart"/>
            <w:r w:rsidRPr="00994FB3">
              <w:rPr>
                <w:i/>
                <w:sz w:val="18"/>
              </w:rPr>
              <w:t>Sall</w:t>
            </w:r>
            <w:proofErr w:type="spellEnd"/>
            <w:r w:rsidRPr="00994FB3">
              <w:rPr>
                <w:i/>
                <w:sz w:val="18"/>
              </w:rPr>
              <w:t xml:space="preserve">, Senegal </w:t>
            </w:r>
            <w:r w:rsidRPr="00994FB3">
              <w:rPr>
                <w:i/>
                <w:sz w:val="18"/>
              </w:rPr>
              <w:tab/>
              <w:t xml:space="preserve"> </w:t>
            </w:r>
          </w:p>
          <w:p w14:paraId="3437BA6E" w14:textId="77777777" w:rsidR="00473C6F" w:rsidRDefault="00E4187D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 w:rsidRPr="00994FB3">
              <w:rPr>
                <w:i/>
                <w:sz w:val="18"/>
              </w:rPr>
              <w:t>Ma</w:t>
            </w:r>
            <w:r w:rsidR="00487517">
              <w:rPr>
                <w:i/>
                <w:sz w:val="18"/>
              </w:rPr>
              <w:t xml:space="preserve">rk P. </w:t>
            </w:r>
            <w:proofErr w:type="spellStart"/>
            <w:r w:rsidR="00487517">
              <w:rPr>
                <w:i/>
                <w:sz w:val="18"/>
              </w:rPr>
              <w:t>Haggard</w:t>
            </w:r>
            <w:proofErr w:type="spellEnd"/>
            <w:r w:rsidR="00487517">
              <w:rPr>
                <w:i/>
                <w:sz w:val="18"/>
              </w:rPr>
              <w:t>, Velká Británie</w:t>
            </w:r>
            <w:r w:rsidRPr="00994FB3">
              <w:rPr>
                <w:i/>
                <w:sz w:val="18"/>
              </w:rPr>
              <w:t xml:space="preserve"> </w:t>
            </w:r>
            <w:r w:rsidRPr="00994FB3">
              <w:rPr>
                <w:i/>
                <w:sz w:val="18"/>
              </w:rPr>
              <w:tab/>
              <w:t xml:space="preserve"> </w:t>
            </w:r>
          </w:p>
          <w:p w14:paraId="58F7E95F" w14:textId="77777777" w:rsidR="00473C6F" w:rsidRDefault="00E4187D" w:rsidP="00994FB3">
            <w:pPr>
              <w:spacing w:after="9" w:line="240" w:lineRule="auto"/>
              <w:ind w:left="0" w:right="0" w:firstLine="0"/>
            </w:pPr>
            <w:r w:rsidRPr="00994FB3">
              <w:rPr>
                <w:i/>
                <w:sz w:val="18"/>
              </w:rPr>
              <w:t>Též děkujem</w:t>
            </w:r>
            <w:r w:rsidR="00487517">
              <w:rPr>
                <w:i/>
                <w:sz w:val="18"/>
              </w:rPr>
              <w:t>e za kritické poznámky k první verzi tohoto dokumentu</w:t>
            </w:r>
            <w:r w:rsidR="00E40B2A">
              <w:rPr>
                <w:i/>
                <w:sz w:val="18"/>
              </w:rPr>
              <w:t>, které podali</w:t>
            </w:r>
            <w:r w:rsidRPr="00994FB3">
              <w:rPr>
                <w:i/>
                <w:sz w:val="18"/>
              </w:rPr>
              <w:t xml:space="preserve">:  </w:t>
            </w:r>
          </w:p>
          <w:p w14:paraId="39C0D26E" w14:textId="77777777" w:rsidR="00473C6F" w:rsidRDefault="00487517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>
              <w:rPr>
                <w:i/>
                <w:sz w:val="18"/>
              </w:rPr>
              <w:t>Manfred Gross, Německo</w:t>
            </w:r>
            <w:r w:rsidR="00E4187D" w:rsidRPr="00994FB3">
              <w:rPr>
                <w:i/>
                <w:sz w:val="18"/>
              </w:rPr>
              <w:t xml:space="preserve"> </w:t>
            </w:r>
          </w:p>
          <w:p w14:paraId="35559589" w14:textId="77777777" w:rsidR="00473C6F" w:rsidRDefault="00E40B2A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proofErr w:type="spellStart"/>
            <w:r>
              <w:rPr>
                <w:i/>
                <w:sz w:val="18"/>
              </w:rPr>
              <w:t>Bolajoko</w:t>
            </w:r>
            <w:proofErr w:type="spellEnd"/>
            <w:r>
              <w:rPr>
                <w:i/>
                <w:sz w:val="18"/>
              </w:rPr>
              <w:t xml:space="preserve"> O. </w:t>
            </w:r>
            <w:proofErr w:type="spellStart"/>
            <w:r>
              <w:rPr>
                <w:i/>
                <w:sz w:val="18"/>
              </w:rPr>
              <w:t>Olusanya</w:t>
            </w:r>
            <w:proofErr w:type="spellEnd"/>
            <w:r>
              <w:rPr>
                <w:i/>
                <w:sz w:val="18"/>
              </w:rPr>
              <w:t>, Nigé</w:t>
            </w:r>
            <w:r w:rsidR="00487517">
              <w:rPr>
                <w:i/>
                <w:sz w:val="18"/>
              </w:rPr>
              <w:t>rie</w:t>
            </w:r>
            <w:r w:rsidR="00E4187D" w:rsidRPr="00994FB3">
              <w:rPr>
                <w:i/>
                <w:sz w:val="18"/>
              </w:rPr>
              <w:t xml:space="preserve"> </w:t>
            </w:r>
          </w:p>
          <w:p w14:paraId="2F567EDD" w14:textId="77777777" w:rsidR="00473C6F" w:rsidRDefault="00487517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>
              <w:rPr>
                <w:i/>
                <w:sz w:val="18"/>
              </w:rPr>
              <w:t>Katrin Neumann, Německo</w:t>
            </w:r>
          </w:p>
          <w:p w14:paraId="244DB2D0" w14:textId="77777777" w:rsidR="00473C6F" w:rsidRDefault="00E4187D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 w:rsidRPr="00994FB3">
              <w:rPr>
                <w:i/>
                <w:sz w:val="18"/>
              </w:rPr>
              <w:t xml:space="preserve">Karl R White, USA </w:t>
            </w:r>
          </w:p>
          <w:p w14:paraId="53D196D3" w14:textId="77777777" w:rsidR="00473C6F" w:rsidRDefault="00E4187D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proofErr w:type="spellStart"/>
            <w:r w:rsidRPr="00994FB3">
              <w:rPr>
                <w:i/>
                <w:sz w:val="18"/>
              </w:rPr>
              <w:t>Paige</w:t>
            </w:r>
            <w:proofErr w:type="spellEnd"/>
            <w:r w:rsidRPr="00994FB3">
              <w:rPr>
                <w:i/>
                <w:sz w:val="18"/>
              </w:rPr>
              <w:t xml:space="preserve"> </w:t>
            </w:r>
            <w:proofErr w:type="spellStart"/>
            <w:r w:rsidRPr="00994FB3">
              <w:rPr>
                <w:i/>
                <w:sz w:val="18"/>
              </w:rPr>
              <w:t>Stringer</w:t>
            </w:r>
            <w:proofErr w:type="spellEnd"/>
            <w:r w:rsidRPr="00994FB3">
              <w:rPr>
                <w:i/>
                <w:sz w:val="18"/>
              </w:rPr>
              <w:t xml:space="preserve">, USA </w:t>
            </w:r>
          </w:p>
          <w:p w14:paraId="2A93FE83" w14:textId="77777777" w:rsidR="00473C6F" w:rsidRDefault="00E4187D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 w:rsidRPr="00994FB3">
              <w:rPr>
                <w:i/>
                <w:sz w:val="18"/>
              </w:rPr>
              <w:t xml:space="preserve">Frank R. Lin, USA </w:t>
            </w:r>
          </w:p>
          <w:p w14:paraId="0A97A39C" w14:textId="77777777" w:rsidR="00473C6F" w:rsidRDefault="00E4187D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proofErr w:type="spellStart"/>
            <w:r w:rsidRPr="00994FB3">
              <w:rPr>
                <w:i/>
                <w:sz w:val="18"/>
              </w:rPr>
              <w:t>Jackie</w:t>
            </w:r>
            <w:proofErr w:type="spellEnd"/>
            <w:r w:rsidRPr="00994FB3">
              <w:rPr>
                <w:i/>
                <w:sz w:val="18"/>
              </w:rPr>
              <w:t xml:space="preserve"> L. </w:t>
            </w:r>
            <w:proofErr w:type="spellStart"/>
            <w:r w:rsidRPr="00994FB3">
              <w:rPr>
                <w:i/>
                <w:sz w:val="18"/>
              </w:rPr>
              <w:t>Clark</w:t>
            </w:r>
            <w:proofErr w:type="spellEnd"/>
            <w:r w:rsidRPr="00994FB3">
              <w:rPr>
                <w:i/>
                <w:sz w:val="18"/>
              </w:rPr>
              <w:t xml:space="preserve">, USA </w:t>
            </w:r>
          </w:p>
          <w:p w14:paraId="766C5E1A" w14:textId="77777777" w:rsidR="00473C6F" w:rsidRDefault="00E4187D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r w:rsidRPr="00994FB3">
              <w:rPr>
                <w:i/>
                <w:sz w:val="18"/>
              </w:rPr>
              <w:t xml:space="preserve">James E. </w:t>
            </w:r>
            <w:proofErr w:type="spellStart"/>
            <w:r w:rsidRPr="00994FB3">
              <w:rPr>
                <w:i/>
                <w:sz w:val="18"/>
              </w:rPr>
              <w:t>Saunders</w:t>
            </w:r>
            <w:proofErr w:type="spellEnd"/>
            <w:r w:rsidRPr="00994FB3">
              <w:rPr>
                <w:i/>
                <w:sz w:val="18"/>
              </w:rPr>
              <w:t xml:space="preserve">, USA </w:t>
            </w:r>
          </w:p>
          <w:p w14:paraId="366301C2" w14:textId="77777777" w:rsidR="00473C6F" w:rsidRDefault="00487517" w:rsidP="00994FB3">
            <w:pPr>
              <w:numPr>
                <w:ilvl w:val="0"/>
                <w:numId w:val="3"/>
              </w:numPr>
              <w:spacing w:after="0" w:line="259" w:lineRule="auto"/>
              <w:ind w:right="0"/>
              <w:jc w:val="left"/>
            </w:pPr>
            <w:proofErr w:type="spellStart"/>
            <w:r>
              <w:rPr>
                <w:i/>
                <w:sz w:val="18"/>
              </w:rPr>
              <w:t>Shelly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Chadha</w:t>
            </w:r>
            <w:proofErr w:type="spellEnd"/>
            <w:r>
              <w:rPr>
                <w:i/>
                <w:sz w:val="18"/>
              </w:rPr>
              <w:t>, Švýcarsko</w:t>
            </w:r>
            <w:r w:rsidR="00E4187D" w:rsidRPr="00994FB3">
              <w:rPr>
                <w:i/>
                <w:sz w:val="18"/>
              </w:rPr>
              <w:t xml:space="preserve"> </w:t>
            </w:r>
          </w:p>
          <w:p w14:paraId="0F474220" w14:textId="77777777" w:rsidR="00473C6F" w:rsidRDefault="00E4187D" w:rsidP="00994FB3">
            <w:pPr>
              <w:spacing w:after="0" w:line="259" w:lineRule="auto"/>
              <w:ind w:left="0" w:right="0" w:firstLine="0"/>
              <w:jc w:val="left"/>
            </w:pPr>
            <w:r w:rsidRPr="00994FB3">
              <w:rPr>
                <w:i/>
                <w:sz w:val="18"/>
              </w:rPr>
              <w:t xml:space="preserve"> </w:t>
            </w:r>
          </w:p>
          <w:p w14:paraId="3BC08683" w14:textId="77777777" w:rsidR="00473C6F" w:rsidRDefault="00487517" w:rsidP="00994FB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18"/>
              </w:rPr>
              <w:t>První verzi materiálu připravila</w:t>
            </w:r>
            <w:r w:rsidR="00E4187D" w:rsidRPr="00994FB3">
              <w:rPr>
                <w:b/>
                <w:i/>
                <w:sz w:val="18"/>
              </w:rPr>
              <w:t xml:space="preserve"> </w:t>
            </w:r>
          </w:p>
          <w:p w14:paraId="63F534F7" w14:textId="77777777" w:rsidR="00473C6F" w:rsidRDefault="00487517" w:rsidP="00994FB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Národní akademie věd Leopoldina, Německo</w:t>
            </w:r>
            <w:r w:rsidR="00E4187D" w:rsidRPr="00994FB3">
              <w:rPr>
                <w:i/>
                <w:sz w:val="18"/>
              </w:rPr>
              <w:t xml:space="preserve"> </w:t>
            </w:r>
          </w:p>
          <w:p w14:paraId="50FDDEB7" w14:textId="77777777" w:rsidR="00473C6F" w:rsidRDefault="00487517" w:rsidP="00994FB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8"/>
              </w:rPr>
              <w:t>Prof. Dr. J. Hacker, prez</w:t>
            </w:r>
            <w:r w:rsidR="00E4187D" w:rsidRPr="00994FB3">
              <w:rPr>
                <w:i/>
                <w:sz w:val="18"/>
              </w:rPr>
              <w:t xml:space="preserve">ident </w:t>
            </w:r>
          </w:p>
          <w:p w14:paraId="3655FD67" w14:textId="77777777" w:rsidR="00473C6F" w:rsidRDefault="00E4187D" w:rsidP="00100877">
            <w:pPr>
              <w:spacing w:after="0" w:line="259" w:lineRule="auto"/>
              <w:ind w:left="0" w:right="0" w:firstLine="0"/>
              <w:jc w:val="left"/>
            </w:pPr>
            <w:r w:rsidRPr="00994FB3">
              <w:rPr>
                <w:i/>
                <w:sz w:val="18"/>
              </w:rPr>
              <w:t>P</w:t>
            </w:r>
            <w:r w:rsidR="00487517">
              <w:rPr>
                <w:i/>
                <w:sz w:val="18"/>
              </w:rPr>
              <w:t xml:space="preserve">rof. Dr. H.P. </w:t>
            </w:r>
            <w:proofErr w:type="spellStart"/>
            <w:r w:rsidR="00487517">
              <w:rPr>
                <w:i/>
                <w:sz w:val="18"/>
              </w:rPr>
              <w:t>Zenner</w:t>
            </w:r>
            <w:proofErr w:type="spellEnd"/>
            <w:r w:rsidR="00487517">
              <w:rPr>
                <w:i/>
                <w:sz w:val="18"/>
              </w:rPr>
              <w:t>, s</w:t>
            </w:r>
            <w:r w:rsidR="00E40B2A">
              <w:rPr>
                <w:i/>
                <w:sz w:val="18"/>
              </w:rPr>
              <w:t>ekretář za medicínu</w:t>
            </w:r>
            <w:r w:rsidRPr="00994FB3">
              <w:rPr>
                <w:b/>
                <w:i/>
                <w:sz w:val="18"/>
              </w:rPr>
              <w:t xml:space="preserve"> </w:t>
            </w:r>
          </w:p>
        </w:tc>
      </w:tr>
    </w:tbl>
    <w:p w14:paraId="10A7F255" w14:textId="77777777" w:rsidR="00473C6F" w:rsidRDefault="00473C6F"/>
    <w:sectPr w:rsidR="00473C6F" w:rsidSect="00973965">
      <w:type w:val="continuous"/>
      <w:pgSz w:w="11906" w:h="16838"/>
      <w:pgMar w:top="709" w:right="1077" w:bottom="709" w:left="1080" w:header="0" w:footer="0" w:gutter="0"/>
      <w:cols w:num="2" w:space="764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B852F" w14:textId="77777777" w:rsidR="00691458" w:rsidRDefault="00691458">
      <w:pPr>
        <w:spacing w:after="0" w:line="240" w:lineRule="auto"/>
      </w:pPr>
      <w:r>
        <w:separator/>
      </w:r>
    </w:p>
  </w:endnote>
  <w:endnote w:type="continuationSeparator" w:id="0">
    <w:p w14:paraId="7C4AC76D" w14:textId="77777777" w:rsidR="00691458" w:rsidRDefault="00691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38B97" w14:textId="77777777" w:rsidR="00691458" w:rsidRDefault="00691458"/>
  </w:footnote>
  <w:footnote w:type="continuationSeparator" w:id="0">
    <w:p w14:paraId="77DFE099" w14:textId="77777777" w:rsidR="00691458" w:rsidRDefault="00691458">
      <w:r>
        <w:continuationSeparator/>
      </w:r>
    </w:p>
  </w:footnote>
  <w:footnote w:id="1">
    <w:p w14:paraId="7FAA1308" w14:textId="77777777" w:rsidR="00473C6F" w:rsidRPr="00973965" w:rsidRDefault="00E4187D" w:rsidP="00973965">
      <w:pPr>
        <w:pStyle w:val="Poznmkapodarou"/>
        <w:ind w:left="142" w:hanging="142"/>
        <w:rPr>
          <w:sz w:val="18"/>
          <w:szCs w:val="18"/>
        </w:rPr>
      </w:pPr>
      <w:r w:rsidRPr="00973965">
        <w:rPr>
          <w:rStyle w:val="footnotemark"/>
          <w:sz w:val="18"/>
          <w:szCs w:val="18"/>
        </w:rPr>
        <w:footnoteRef/>
      </w:r>
      <w:r w:rsidR="00973965">
        <w:rPr>
          <w:sz w:val="18"/>
          <w:szCs w:val="18"/>
        </w:rPr>
        <w:t xml:space="preserve"> </w:t>
      </w:r>
      <w:r w:rsidRPr="00973965">
        <w:rPr>
          <w:sz w:val="18"/>
          <w:szCs w:val="18"/>
        </w:rPr>
        <w:t>http://www.who.int/disabilities/world_report/2011/en/</w:t>
      </w:r>
      <w:r w:rsidRPr="00973965">
        <w:rPr>
          <w:rFonts w:ascii="Cambria" w:eastAsia="Cambria" w:hAnsi="Cambria" w:cs="Cambria"/>
          <w:sz w:val="18"/>
          <w:szCs w:val="18"/>
        </w:rPr>
        <w:t xml:space="preserve"> </w:t>
      </w:r>
    </w:p>
  </w:footnote>
  <w:footnote w:id="2">
    <w:p w14:paraId="3AA9225A" w14:textId="77777777" w:rsidR="00473C6F" w:rsidRPr="00973965" w:rsidRDefault="00E4187D" w:rsidP="00973965">
      <w:pPr>
        <w:pStyle w:val="Poznmkapodarou"/>
        <w:ind w:left="142" w:hanging="142"/>
        <w:rPr>
          <w:sz w:val="18"/>
          <w:szCs w:val="18"/>
        </w:rPr>
      </w:pPr>
      <w:r w:rsidRPr="00973965">
        <w:rPr>
          <w:rStyle w:val="footnotemark"/>
          <w:sz w:val="18"/>
          <w:szCs w:val="18"/>
        </w:rPr>
        <w:footnoteRef/>
      </w:r>
      <w:r w:rsidRPr="00973965">
        <w:rPr>
          <w:sz w:val="18"/>
          <w:szCs w:val="18"/>
        </w:rPr>
        <w:t xml:space="preserve"> http://www.who.int/topics/deafness/en/</w:t>
      </w:r>
      <w:r w:rsidRPr="00973965">
        <w:rPr>
          <w:rFonts w:ascii="Cambria" w:eastAsia="Cambria" w:hAnsi="Cambria" w:cs="Cambria"/>
          <w:sz w:val="18"/>
          <w:szCs w:val="18"/>
        </w:rPr>
        <w:t xml:space="preserve"> </w:t>
      </w:r>
    </w:p>
  </w:footnote>
  <w:footnote w:id="3">
    <w:p w14:paraId="0597A7B2" w14:textId="77777777" w:rsidR="00473C6F" w:rsidRPr="00973965" w:rsidRDefault="00E4187D" w:rsidP="00973965">
      <w:pPr>
        <w:pStyle w:val="footnotedescription"/>
        <w:spacing w:line="225" w:lineRule="auto"/>
        <w:ind w:left="142" w:hanging="142"/>
        <w:jc w:val="both"/>
        <w:rPr>
          <w:sz w:val="18"/>
          <w:szCs w:val="18"/>
        </w:rPr>
      </w:pPr>
      <w:r w:rsidRPr="00973965">
        <w:rPr>
          <w:rStyle w:val="footnotemark"/>
          <w:sz w:val="18"/>
          <w:szCs w:val="18"/>
        </w:rPr>
        <w:footnoteRef/>
      </w:r>
      <w:r w:rsidRPr="00973965">
        <w:rPr>
          <w:sz w:val="18"/>
          <w:szCs w:val="18"/>
        </w:rPr>
        <w:t xml:space="preserve"> </w:t>
      </w:r>
      <w:proofErr w:type="spellStart"/>
      <w:r w:rsidRPr="00973965">
        <w:rPr>
          <w:sz w:val="18"/>
          <w:szCs w:val="18"/>
        </w:rPr>
        <w:t>World</w:t>
      </w:r>
      <w:proofErr w:type="spellEnd"/>
      <w:r w:rsidRPr="00973965">
        <w:rPr>
          <w:sz w:val="18"/>
          <w:szCs w:val="18"/>
        </w:rPr>
        <w:t xml:space="preserve"> </w:t>
      </w:r>
      <w:proofErr w:type="spellStart"/>
      <w:r w:rsidRPr="00973965">
        <w:rPr>
          <w:sz w:val="18"/>
          <w:szCs w:val="18"/>
        </w:rPr>
        <w:t>Health</w:t>
      </w:r>
      <w:proofErr w:type="spellEnd"/>
      <w:r w:rsidRPr="00973965">
        <w:rPr>
          <w:sz w:val="18"/>
          <w:szCs w:val="18"/>
        </w:rPr>
        <w:t xml:space="preserve"> </w:t>
      </w:r>
      <w:proofErr w:type="spellStart"/>
      <w:r w:rsidRPr="00973965">
        <w:rPr>
          <w:sz w:val="18"/>
          <w:szCs w:val="18"/>
        </w:rPr>
        <w:t>Organization</w:t>
      </w:r>
      <w:proofErr w:type="spellEnd"/>
      <w:r w:rsidRPr="00973965">
        <w:rPr>
          <w:sz w:val="18"/>
          <w:szCs w:val="18"/>
        </w:rPr>
        <w:t xml:space="preserve"> (2013). </w:t>
      </w:r>
      <w:proofErr w:type="spellStart"/>
      <w:r w:rsidRPr="00973965">
        <w:rPr>
          <w:sz w:val="18"/>
          <w:szCs w:val="18"/>
        </w:rPr>
        <w:t>Millions</w:t>
      </w:r>
      <w:proofErr w:type="spellEnd"/>
      <w:r w:rsidRPr="00973965">
        <w:rPr>
          <w:sz w:val="18"/>
          <w:szCs w:val="18"/>
        </w:rPr>
        <w:t xml:space="preserve"> of </w:t>
      </w:r>
      <w:proofErr w:type="spellStart"/>
      <w:r w:rsidRPr="00973965">
        <w:rPr>
          <w:sz w:val="18"/>
          <w:szCs w:val="18"/>
        </w:rPr>
        <w:t>people</w:t>
      </w:r>
      <w:proofErr w:type="spellEnd"/>
      <w:r w:rsidRPr="00973965">
        <w:rPr>
          <w:sz w:val="18"/>
          <w:szCs w:val="18"/>
        </w:rPr>
        <w:t xml:space="preserve"> in the </w:t>
      </w:r>
      <w:proofErr w:type="spellStart"/>
      <w:r w:rsidRPr="00973965">
        <w:rPr>
          <w:sz w:val="18"/>
          <w:szCs w:val="18"/>
        </w:rPr>
        <w:t>world</w:t>
      </w:r>
      <w:proofErr w:type="spellEnd"/>
      <w:r w:rsidRPr="00973965">
        <w:rPr>
          <w:sz w:val="18"/>
          <w:szCs w:val="18"/>
        </w:rPr>
        <w:t xml:space="preserve"> </w:t>
      </w:r>
      <w:proofErr w:type="spellStart"/>
      <w:r w:rsidRPr="00973965">
        <w:rPr>
          <w:sz w:val="18"/>
          <w:szCs w:val="18"/>
        </w:rPr>
        <w:t>have</w:t>
      </w:r>
      <w:proofErr w:type="spellEnd"/>
      <w:r w:rsidRPr="00973965">
        <w:rPr>
          <w:sz w:val="18"/>
          <w:szCs w:val="18"/>
        </w:rPr>
        <w:t xml:space="preserve"> </w:t>
      </w:r>
      <w:proofErr w:type="spellStart"/>
      <w:r w:rsidRPr="00973965">
        <w:rPr>
          <w:sz w:val="18"/>
          <w:szCs w:val="18"/>
        </w:rPr>
        <w:t>hearing</w:t>
      </w:r>
      <w:proofErr w:type="spellEnd"/>
      <w:r w:rsidRPr="00973965">
        <w:rPr>
          <w:sz w:val="18"/>
          <w:szCs w:val="18"/>
        </w:rPr>
        <w:t xml:space="preserve"> </w:t>
      </w:r>
      <w:proofErr w:type="spellStart"/>
      <w:r w:rsidRPr="00973965">
        <w:rPr>
          <w:sz w:val="18"/>
          <w:szCs w:val="18"/>
        </w:rPr>
        <w:t>loss</w:t>
      </w:r>
      <w:proofErr w:type="spellEnd"/>
      <w:r w:rsidRPr="00973965">
        <w:rPr>
          <w:sz w:val="18"/>
          <w:szCs w:val="18"/>
        </w:rPr>
        <w:t xml:space="preserve"> </w:t>
      </w:r>
      <w:proofErr w:type="spellStart"/>
      <w:r w:rsidRPr="00973965">
        <w:rPr>
          <w:sz w:val="18"/>
          <w:szCs w:val="18"/>
        </w:rPr>
        <w:t>that</w:t>
      </w:r>
      <w:proofErr w:type="spellEnd"/>
      <w:r w:rsidRPr="00973965">
        <w:rPr>
          <w:sz w:val="18"/>
          <w:szCs w:val="18"/>
        </w:rPr>
        <w:t xml:space="preserve"> </w:t>
      </w:r>
      <w:proofErr w:type="spellStart"/>
      <w:r w:rsidRPr="00973965">
        <w:rPr>
          <w:sz w:val="18"/>
          <w:szCs w:val="18"/>
        </w:rPr>
        <w:t>can</w:t>
      </w:r>
      <w:proofErr w:type="spellEnd"/>
      <w:r w:rsidRPr="00973965">
        <w:rPr>
          <w:sz w:val="18"/>
          <w:szCs w:val="18"/>
        </w:rPr>
        <w:t xml:space="preserve"> </w:t>
      </w:r>
      <w:proofErr w:type="spellStart"/>
      <w:r w:rsidRPr="00973965">
        <w:rPr>
          <w:sz w:val="18"/>
          <w:szCs w:val="18"/>
        </w:rPr>
        <w:t>be</w:t>
      </w:r>
      <w:proofErr w:type="spellEnd"/>
      <w:r w:rsidRPr="00973965">
        <w:rPr>
          <w:sz w:val="18"/>
          <w:szCs w:val="18"/>
        </w:rPr>
        <w:t xml:space="preserve"> </w:t>
      </w:r>
      <w:proofErr w:type="spellStart"/>
      <w:r w:rsidRPr="00973965">
        <w:rPr>
          <w:sz w:val="18"/>
          <w:szCs w:val="18"/>
        </w:rPr>
        <w:t>prevented</w:t>
      </w:r>
      <w:proofErr w:type="spellEnd"/>
      <w:r w:rsidRPr="00973965">
        <w:rPr>
          <w:sz w:val="18"/>
          <w:szCs w:val="18"/>
        </w:rPr>
        <w:t xml:space="preserve">. http://www.who.int/pbd/deafness/news/Millionslivewithhearinglo ss.pdf </w:t>
      </w:r>
    </w:p>
    <w:p w14:paraId="260918B4" w14:textId="77777777" w:rsidR="00473C6F" w:rsidRDefault="00473C6F">
      <w:pPr>
        <w:pStyle w:val="Poznmkapodarou"/>
      </w:pPr>
    </w:p>
  </w:footnote>
  <w:footnote w:id="4">
    <w:p w14:paraId="46057E58" w14:textId="77777777" w:rsidR="00473C6F" w:rsidRPr="00973965" w:rsidRDefault="00E4187D">
      <w:pPr>
        <w:pStyle w:val="Poznmkapodarou"/>
        <w:rPr>
          <w:sz w:val="18"/>
        </w:rPr>
      </w:pPr>
      <w:r>
        <w:rPr>
          <w:rStyle w:val="footnotemark"/>
        </w:rPr>
        <w:footnoteRef/>
      </w:r>
      <w:r>
        <w:t xml:space="preserve"> </w:t>
      </w:r>
      <w:r w:rsidRPr="00973965">
        <w:rPr>
          <w:sz w:val="18"/>
        </w:rPr>
        <w:t xml:space="preserve">J </w:t>
      </w:r>
      <w:proofErr w:type="spellStart"/>
      <w:r w:rsidRPr="00973965">
        <w:rPr>
          <w:sz w:val="18"/>
        </w:rPr>
        <w:t>Gerontol</w:t>
      </w:r>
      <w:proofErr w:type="spellEnd"/>
      <w:r w:rsidRPr="00973965">
        <w:rPr>
          <w:sz w:val="18"/>
        </w:rPr>
        <w:t xml:space="preserve"> A </w:t>
      </w:r>
      <w:proofErr w:type="spellStart"/>
      <w:r w:rsidRPr="00973965">
        <w:rPr>
          <w:sz w:val="18"/>
        </w:rPr>
        <w:t>Biol</w:t>
      </w:r>
      <w:proofErr w:type="spellEnd"/>
      <w:r w:rsidRPr="00973965">
        <w:rPr>
          <w:sz w:val="18"/>
        </w:rPr>
        <w:t xml:space="preserve"> </w:t>
      </w:r>
      <w:proofErr w:type="spellStart"/>
      <w:r w:rsidRPr="00973965">
        <w:rPr>
          <w:sz w:val="18"/>
        </w:rPr>
        <w:t>Sci</w:t>
      </w:r>
      <w:proofErr w:type="spellEnd"/>
      <w:r w:rsidRPr="00973965">
        <w:rPr>
          <w:sz w:val="18"/>
        </w:rPr>
        <w:t xml:space="preserve"> Med </w:t>
      </w:r>
      <w:proofErr w:type="spellStart"/>
      <w:r w:rsidRPr="00973965">
        <w:rPr>
          <w:sz w:val="18"/>
        </w:rPr>
        <w:t>Sci</w:t>
      </w:r>
      <w:proofErr w:type="spellEnd"/>
      <w:r w:rsidRPr="00973965">
        <w:rPr>
          <w:sz w:val="18"/>
        </w:rPr>
        <w:t xml:space="preserve">. 2011 May; 66A(5):582-590 </w:t>
      </w:r>
    </w:p>
  </w:footnote>
  <w:footnote w:id="5">
    <w:p w14:paraId="5BCCBE59" w14:textId="77777777" w:rsidR="00473C6F" w:rsidRPr="00973965" w:rsidRDefault="00E4187D" w:rsidP="00973965">
      <w:pPr>
        <w:pStyle w:val="Poznmkapodarou"/>
        <w:ind w:left="142" w:hanging="142"/>
        <w:jc w:val="left"/>
        <w:rPr>
          <w:sz w:val="18"/>
          <w:szCs w:val="18"/>
        </w:rPr>
      </w:pPr>
      <w:r w:rsidRPr="00973965">
        <w:rPr>
          <w:rStyle w:val="footnotemark"/>
          <w:sz w:val="18"/>
          <w:szCs w:val="18"/>
        </w:rPr>
        <w:footnoteRef/>
      </w:r>
      <w:r w:rsidR="00973965">
        <w:rPr>
          <w:sz w:val="18"/>
          <w:szCs w:val="18"/>
        </w:rPr>
        <w:t xml:space="preserve"> </w:t>
      </w:r>
      <w:r w:rsidRPr="00973965">
        <w:rPr>
          <w:sz w:val="18"/>
          <w:szCs w:val="18"/>
        </w:rPr>
        <w:t>http://www.demneuropsy.com.br/imageBank/PDF/</w:t>
      </w:r>
      <w:r w:rsidR="00973965">
        <w:rPr>
          <w:sz w:val="18"/>
          <w:szCs w:val="18"/>
        </w:rPr>
        <w:t xml:space="preserve"> </w:t>
      </w:r>
      <w:r w:rsidRPr="00973965">
        <w:rPr>
          <w:sz w:val="18"/>
          <w:szCs w:val="18"/>
        </w:rPr>
        <w:t xml:space="preserve">dnv01n03a05.pdf </w:t>
      </w:r>
    </w:p>
  </w:footnote>
  <w:footnote w:id="6">
    <w:p w14:paraId="58AF4801" w14:textId="77777777" w:rsidR="00473C6F" w:rsidRPr="00973965" w:rsidRDefault="00E4187D" w:rsidP="00973965">
      <w:pPr>
        <w:pStyle w:val="Poznmkapodarou"/>
        <w:ind w:left="142" w:hanging="142"/>
        <w:jc w:val="left"/>
        <w:rPr>
          <w:sz w:val="18"/>
          <w:szCs w:val="18"/>
        </w:rPr>
      </w:pPr>
      <w:r w:rsidRPr="00973965">
        <w:rPr>
          <w:rStyle w:val="footnotemark"/>
          <w:sz w:val="18"/>
          <w:szCs w:val="18"/>
        </w:rPr>
        <w:footnoteRef/>
      </w:r>
      <w:r w:rsidR="00973965">
        <w:rPr>
          <w:sz w:val="18"/>
          <w:szCs w:val="18"/>
        </w:rPr>
        <w:t xml:space="preserve"> </w:t>
      </w:r>
      <w:r w:rsidRPr="00973965">
        <w:rPr>
          <w:sz w:val="18"/>
          <w:szCs w:val="18"/>
        </w:rPr>
        <w:t>http://www.who.int/healthinfo/statistics/</w:t>
      </w:r>
      <w:r w:rsidR="00973965">
        <w:rPr>
          <w:sz w:val="18"/>
          <w:szCs w:val="18"/>
        </w:rPr>
        <w:br/>
      </w:r>
      <w:r w:rsidRPr="00973965">
        <w:rPr>
          <w:sz w:val="18"/>
          <w:szCs w:val="18"/>
        </w:rPr>
        <w:t xml:space="preserve">bod_hearingloss.pdf </w:t>
      </w:r>
    </w:p>
  </w:footnote>
  <w:footnote w:id="7">
    <w:p w14:paraId="576A28E0" w14:textId="77777777" w:rsidR="00473C6F" w:rsidRPr="00973965" w:rsidRDefault="00E4187D" w:rsidP="00973965">
      <w:pPr>
        <w:pStyle w:val="Poznmkapodarou"/>
        <w:ind w:left="142" w:hanging="142"/>
        <w:jc w:val="left"/>
        <w:rPr>
          <w:sz w:val="18"/>
          <w:szCs w:val="18"/>
        </w:rPr>
      </w:pPr>
      <w:r w:rsidRPr="00973965">
        <w:rPr>
          <w:rStyle w:val="footnotemark"/>
          <w:sz w:val="18"/>
          <w:szCs w:val="18"/>
        </w:rPr>
        <w:footnoteRef/>
      </w:r>
      <w:r w:rsidR="00973965">
        <w:rPr>
          <w:sz w:val="18"/>
          <w:szCs w:val="18"/>
        </w:rPr>
        <w:t xml:space="preserve"> </w:t>
      </w:r>
      <w:r w:rsidRPr="00973965">
        <w:rPr>
          <w:sz w:val="18"/>
          <w:szCs w:val="18"/>
        </w:rPr>
        <w:t>http://www.who.int/bulletin/volumes/86/12/</w:t>
      </w:r>
      <w:r w:rsidR="00973965">
        <w:rPr>
          <w:sz w:val="18"/>
          <w:szCs w:val="18"/>
        </w:rPr>
        <w:br/>
      </w:r>
      <w:r w:rsidRPr="00973965">
        <w:rPr>
          <w:sz w:val="18"/>
          <w:szCs w:val="18"/>
        </w:rPr>
        <w:t>07- 050005/en/</w:t>
      </w:r>
    </w:p>
  </w:footnote>
  <w:footnote w:id="8">
    <w:p w14:paraId="1EAF0367" w14:textId="77777777" w:rsidR="00973965" w:rsidRPr="00973965" w:rsidRDefault="00973965" w:rsidP="00973965">
      <w:pPr>
        <w:pStyle w:val="FootnoteText"/>
        <w:ind w:left="142" w:hanging="142"/>
        <w:jc w:val="left"/>
        <w:rPr>
          <w:sz w:val="18"/>
          <w:szCs w:val="18"/>
        </w:rPr>
      </w:pPr>
      <w:r w:rsidRPr="00973965"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973965">
        <w:rPr>
          <w:sz w:val="18"/>
          <w:szCs w:val="18"/>
        </w:rPr>
        <w:t>http://www.who.int/mediacentre/news/notes/201 4/</w:t>
      </w:r>
      <w:proofErr w:type="spellStart"/>
      <w:r w:rsidRPr="00973965">
        <w:rPr>
          <w:sz w:val="18"/>
          <w:szCs w:val="18"/>
        </w:rPr>
        <w:t>surveyhearing-loss</w:t>
      </w:r>
      <w:proofErr w:type="spellEnd"/>
      <w:r w:rsidRPr="00973965">
        <w:rPr>
          <w:sz w:val="18"/>
          <w:szCs w:val="18"/>
        </w:rPr>
        <w:t>/en/</w:t>
      </w:r>
    </w:p>
  </w:footnote>
  <w:footnote w:id="9">
    <w:p w14:paraId="3B223AB8" w14:textId="77777777" w:rsidR="00473C6F" w:rsidRPr="00973965" w:rsidRDefault="00E4187D" w:rsidP="00973965">
      <w:pPr>
        <w:pStyle w:val="Poznmkapodarou"/>
        <w:ind w:left="142" w:hanging="142"/>
        <w:jc w:val="left"/>
        <w:rPr>
          <w:sz w:val="18"/>
          <w:szCs w:val="18"/>
        </w:rPr>
      </w:pPr>
      <w:r w:rsidRPr="00973965">
        <w:rPr>
          <w:rStyle w:val="footnotemark"/>
          <w:sz w:val="18"/>
          <w:szCs w:val="18"/>
        </w:rPr>
        <w:footnoteRef/>
      </w:r>
      <w:r w:rsidR="00973965">
        <w:rPr>
          <w:sz w:val="18"/>
          <w:szCs w:val="18"/>
        </w:rPr>
        <w:t xml:space="preserve"> </w:t>
      </w:r>
      <w:r w:rsidRPr="00973965">
        <w:rPr>
          <w:sz w:val="18"/>
          <w:szCs w:val="18"/>
        </w:rPr>
        <w:t>http://www.iom.edu/Activities/PublicHealth/</w:t>
      </w:r>
      <w:r w:rsidR="00973965">
        <w:rPr>
          <w:sz w:val="18"/>
          <w:szCs w:val="18"/>
        </w:rPr>
        <w:br/>
      </w:r>
      <w:proofErr w:type="spellStart"/>
      <w:r w:rsidRPr="00973965">
        <w:rPr>
          <w:sz w:val="18"/>
          <w:szCs w:val="18"/>
        </w:rPr>
        <w:t>HearingLossAging</w:t>
      </w:r>
      <w:proofErr w:type="spellEnd"/>
      <w:r w:rsidRPr="00973965">
        <w:rPr>
          <w:sz w:val="18"/>
          <w:szCs w:val="18"/>
        </w:rPr>
        <w:t>/20</w:t>
      </w:r>
      <w:r w:rsidR="00973965" w:rsidRPr="00973965">
        <w:rPr>
          <w:sz w:val="18"/>
          <w:szCs w:val="18"/>
        </w:rPr>
        <w:t>-JAN-13.aspx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06A2"/>
    <w:multiLevelType w:val="multilevel"/>
    <w:tmpl w:val="2B16662E"/>
    <w:lvl w:ilvl="0">
      <w:start w:val="1"/>
      <w:numFmt w:val="decimal"/>
      <w:lvlText w:val="%1."/>
      <w:lvlJc w:val="left"/>
      <w:pPr>
        <w:ind w:left="428" w:hanging="360"/>
      </w:pPr>
      <w:rPr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•"/>
      <w:lvlJc w:val="left"/>
      <w:pPr>
        <w:ind w:left="705" w:hanging="360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160" w:hanging="360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320" w:hanging="360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1">
    <w:nsid w:val="316A604E"/>
    <w:multiLevelType w:val="multilevel"/>
    <w:tmpl w:val="CACA34B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E767FA3"/>
    <w:multiLevelType w:val="multilevel"/>
    <w:tmpl w:val="CB8A142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position w:val="0"/>
        <w:sz w:val="18"/>
        <w:szCs w:val="18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563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18"/>
        <w:szCs w:val="18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283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18"/>
        <w:szCs w:val="18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3003" w:hanging="360"/>
      </w:pPr>
      <w:rPr>
        <w:rFonts w:ascii="Arial" w:hAnsi="Arial" w:cs="Arial" w:hint="default"/>
        <w:b w:val="0"/>
        <w:i w:val="0"/>
        <w:strike w:val="0"/>
        <w:dstrike w:val="0"/>
        <w:position w:val="0"/>
        <w:sz w:val="18"/>
        <w:szCs w:val="18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723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18"/>
        <w:szCs w:val="18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443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18"/>
        <w:szCs w:val="18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163" w:hanging="360"/>
      </w:pPr>
      <w:rPr>
        <w:rFonts w:ascii="Arial" w:hAnsi="Arial" w:cs="Arial" w:hint="default"/>
        <w:b w:val="0"/>
        <w:i w:val="0"/>
        <w:strike w:val="0"/>
        <w:dstrike w:val="0"/>
        <w:position w:val="0"/>
        <w:sz w:val="18"/>
        <w:szCs w:val="18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883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18"/>
        <w:szCs w:val="18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603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position w:val="0"/>
        <w:sz w:val="18"/>
        <w:szCs w:val="18"/>
        <w:u w:val="none" w:color="000000"/>
        <w:shd w:val="clear" w:color="auto" w:fill="FFFFFF"/>
        <w:vertAlign w:val="baseline"/>
      </w:rPr>
    </w:lvl>
  </w:abstractNum>
  <w:abstractNum w:abstractNumId="3">
    <w:nsid w:val="45271C24"/>
    <w:multiLevelType w:val="multilevel"/>
    <w:tmpl w:val="6F80DBA0"/>
    <w:lvl w:ilvl="0">
      <w:start w:val="1"/>
      <w:numFmt w:val="bullet"/>
      <w:lvlText w:val="•"/>
      <w:lvlJc w:val="left"/>
      <w:pPr>
        <w:ind w:left="852" w:hanging="360"/>
      </w:pPr>
      <w:rPr>
        <w:rFonts w:ascii="Calibri" w:hAnsi="Calibri" w:cs="Calibri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226" w:hanging="360"/>
      </w:pPr>
      <w:rPr>
        <w:rFonts w:ascii="Calibri" w:hAnsi="Calibri" w:cs="Calibri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1946" w:hanging="360"/>
      </w:pPr>
      <w:rPr>
        <w:rFonts w:ascii="Calibri" w:hAnsi="Calibri" w:cs="Calibri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666" w:hanging="360"/>
      </w:pPr>
      <w:rPr>
        <w:rFonts w:ascii="Calibri" w:hAnsi="Calibri" w:cs="Calibri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386" w:hanging="360"/>
      </w:pPr>
      <w:rPr>
        <w:rFonts w:ascii="Calibri" w:hAnsi="Calibri" w:cs="Calibri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106" w:hanging="360"/>
      </w:pPr>
      <w:rPr>
        <w:rFonts w:ascii="Calibri" w:hAnsi="Calibri" w:cs="Calibri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4826" w:hanging="360"/>
      </w:pPr>
      <w:rPr>
        <w:rFonts w:ascii="Calibri" w:hAnsi="Calibri" w:cs="Calibri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546" w:hanging="360"/>
      </w:pPr>
      <w:rPr>
        <w:rFonts w:ascii="Calibri" w:hAnsi="Calibri" w:cs="Calibri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266" w:hanging="360"/>
      </w:pPr>
      <w:rPr>
        <w:rFonts w:ascii="Calibri" w:hAnsi="Calibri" w:cs="Calibri" w:hint="default"/>
        <w:b w:val="0"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6F"/>
    <w:rsid w:val="00100877"/>
    <w:rsid w:val="003C34F1"/>
    <w:rsid w:val="00473C6F"/>
    <w:rsid w:val="00487517"/>
    <w:rsid w:val="00552E14"/>
    <w:rsid w:val="00624DBD"/>
    <w:rsid w:val="00685931"/>
    <w:rsid w:val="00691458"/>
    <w:rsid w:val="00780D00"/>
    <w:rsid w:val="0081193E"/>
    <w:rsid w:val="00815AF3"/>
    <w:rsid w:val="00870E01"/>
    <w:rsid w:val="00940A3D"/>
    <w:rsid w:val="00941838"/>
    <w:rsid w:val="00973965"/>
    <w:rsid w:val="00994FB3"/>
    <w:rsid w:val="009E72E7"/>
    <w:rsid w:val="00AB367D"/>
    <w:rsid w:val="00B55A3D"/>
    <w:rsid w:val="00B80762"/>
    <w:rsid w:val="00D77C01"/>
    <w:rsid w:val="00E40B2A"/>
    <w:rsid w:val="00E4187D"/>
    <w:rsid w:val="00EC7C0E"/>
    <w:rsid w:val="00FC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19B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34" w:line="247" w:lineRule="auto"/>
      <w:ind w:left="370" w:right="93" w:hanging="370"/>
      <w:jc w:val="both"/>
    </w:pPr>
    <w:rPr>
      <w:color w:val="000000"/>
      <w:szCs w:val="22"/>
    </w:rPr>
  </w:style>
  <w:style w:type="paragraph" w:styleId="Heading1">
    <w:name w:val="heading 1"/>
    <w:basedOn w:val="Nadpis"/>
    <w:link w:val="Heading1Char"/>
    <w:uiPriority w:val="9"/>
    <w:unhideWhenUsed/>
    <w:qFormat/>
    <w:pPr>
      <w:keepLines/>
      <w:spacing w:after="60"/>
      <w:ind w:left="10" w:hanging="10"/>
      <w:outlineLvl w:val="0"/>
    </w:pPr>
    <w:rPr>
      <w:rFonts w:ascii="Calibri" w:eastAsia="Calibri" w:hAnsi="Calibri" w:cs="Calibr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Pr>
      <w:rFonts w:ascii="Calibri" w:eastAsia="Calibri" w:hAnsi="Calibri" w:cs="Calibri"/>
      <w:b/>
      <w:color w:val="000000"/>
      <w:sz w:val="20"/>
    </w:rPr>
  </w:style>
  <w:style w:type="character" w:customStyle="1" w:styleId="footnotedescriptionChar">
    <w:name w:val="footnote description Char"/>
    <w:qFormat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qFormat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FFFFFF"/>
      <w:vertAlign w:val="baseline"/>
    </w:rPr>
  </w:style>
  <w:style w:type="character" w:customStyle="1" w:styleId="ListLabel3">
    <w:name w:val="ListLabel 3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FFFFFF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FFFFFF"/>
      <w:vertAlign w:val="baseline"/>
    </w:rPr>
  </w:style>
  <w:style w:type="character" w:customStyle="1" w:styleId="ListLabel5">
    <w:name w:val="ListLabel 5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FFFFFF"/>
      <w:vertAlign w:val="baseline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Mangal"/>
    </w:rPr>
  </w:style>
  <w:style w:type="paragraph" w:customStyle="1" w:styleId="footnotedescription">
    <w:name w:val="footnote description"/>
    <w:qFormat/>
    <w:pPr>
      <w:suppressAutoHyphens/>
      <w:spacing w:line="259" w:lineRule="auto"/>
    </w:pPr>
    <w:rPr>
      <w:color w:val="000000"/>
      <w:sz w:val="16"/>
      <w:szCs w:val="22"/>
    </w:rPr>
  </w:style>
  <w:style w:type="paragraph" w:customStyle="1" w:styleId="Poznmkapodarou">
    <w:name w:val="Poznámka pod čarou"/>
    <w:basedOn w:val="Normal"/>
  </w:style>
  <w:style w:type="paragraph" w:customStyle="1" w:styleId="Obsahtabulky">
    <w:name w:val="Obsah tabulky"/>
    <w:basedOn w:val="Normal"/>
    <w:qFormat/>
  </w:style>
  <w:style w:type="paragraph" w:customStyle="1" w:styleId="Nadpistabulky">
    <w:name w:val="Nadpis tabulky"/>
    <w:basedOn w:val="Obsahtabulky"/>
    <w:qFormat/>
  </w:style>
  <w:style w:type="table" w:customStyle="1" w:styleId="TableGrid">
    <w:name w:val="TableGrid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A3D"/>
    <w:rPr>
      <w:rFonts w:ascii="Tahoma" w:eastAsia="Calibri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396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3965"/>
    <w:rPr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739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39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34" w:line="247" w:lineRule="auto"/>
      <w:ind w:left="370" w:right="93" w:hanging="370"/>
      <w:jc w:val="both"/>
    </w:pPr>
    <w:rPr>
      <w:color w:val="000000"/>
      <w:szCs w:val="22"/>
    </w:rPr>
  </w:style>
  <w:style w:type="paragraph" w:styleId="Heading1">
    <w:name w:val="heading 1"/>
    <w:basedOn w:val="Nadpis"/>
    <w:link w:val="Heading1Char"/>
    <w:uiPriority w:val="9"/>
    <w:unhideWhenUsed/>
    <w:qFormat/>
    <w:pPr>
      <w:keepLines/>
      <w:spacing w:after="60"/>
      <w:ind w:left="10" w:hanging="10"/>
      <w:outlineLvl w:val="0"/>
    </w:pPr>
    <w:rPr>
      <w:rFonts w:ascii="Calibri" w:eastAsia="Calibri" w:hAnsi="Calibri" w:cs="Calibr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Pr>
      <w:rFonts w:ascii="Calibri" w:eastAsia="Calibri" w:hAnsi="Calibri" w:cs="Calibri"/>
      <w:b/>
      <w:color w:val="000000"/>
      <w:sz w:val="20"/>
    </w:rPr>
  </w:style>
  <w:style w:type="character" w:customStyle="1" w:styleId="footnotedescriptionChar">
    <w:name w:val="footnote description Char"/>
    <w:qFormat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qFormat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rFonts w:eastAsia="Calibri" w:cs="Calibri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FFFFFF"/>
      <w:vertAlign w:val="baseline"/>
    </w:rPr>
  </w:style>
  <w:style w:type="character" w:customStyle="1" w:styleId="ListLabel3">
    <w:name w:val="ListLabel 3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FFFFFF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FFFFFF"/>
      <w:vertAlign w:val="baseline"/>
    </w:rPr>
  </w:style>
  <w:style w:type="character" w:customStyle="1" w:styleId="ListLabel5">
    <w:name w:val="ListLabel 5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18"/>
      <w:szCs w:val="18"/>
      <w:u w:val="none" w:color="000000"/>
      <w:shd w:val="clear" w:color="auto" w:fill="FFFFFF"/>
      <w:vertAlign w:val="baseline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al"/>
    <w:pPr>
      <w:spacing w:after="140" w:line="288" w:lineRule="auto"/>
    </w:pPr>
  </w:style>
  <w:style w:type="paragraph" w:styleId="List">
    <w:name w:val="List"/>
    <w:basedOn w:val="Tlotextu"/>
    <w:rPr>
      <w:rFonts w:cs="Mangal"/>
    </w:rPr>
  </w:style>
  <w:style w:type="paragraph" w:customStyle="1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Mangal"/>
    </w:rPr>
  </w:style>
  <w:style w:type="paragraph" w:customStyle="1" w:styleId="footnotedescription">
    <w:name w:val="footnote description"/>
    <w:qFormat/>
    <w:pPr>
      <w:suppressAutoHyphens/>
      <w:spacing w:line="259" w:lineRule="auto"/>
    </w:pPr>
    <w:rPr>
      <w:color w:val="000000"/>
      <w:sz w:val="16"/>
      <w:szCs w:val="22"/>
    </w:rPr>
  </w:style>
  <w:style w:type="paragraph" w:customStyle="1" w:styleId="Poznmkapodarou">
    <w:name w:val="Poznámka pod čarou"/>
    <w:basedOn w:val="Normal"/>
  </w:style>
  <w:style w:type="paragraph" w:customStyle="1" w:styleId="Obsahtabulky">
    <w:name w:val="Obsah tabulky"/>
    <w:basedOn w:val="Normal"/>
    <w:qFormat/>
  </w:style>
  <w:style w:type="paragraph" w:customStyle="1" w:styleId="Nadpistabulky">
    <w:name w:val="Nadpis tabulky"/>
    <w:basedOn w:val="Obsahtabulky"/>
    <w:qFormat/>
  </w:style>
  <w:style w:type="table" w:customStyle="1" w:styleId="TableGrid">
    <w:name w:val="TableGrid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A3D"/>
    <w:rPr>
      <w:rFonts w:ascii="Tahoma" w:eastAsia="Calibri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396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3965"/>
    <w:rPr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7396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39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81C12-1B80-5A46-9400-95165CB3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2042</Words>
  <Characters>11643</Characters>
  <Application>Microsoft Macintosh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Leopoldina • Emil-Abderhalden-Str</vt:lpstr>
    </vt:vector>
  </TitlesOfParts>
  <Company>UK 1.LF</Company>
  <LinksUpToDate>false</LinksUpToDate>
  <CharactersWithSpaces>13658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Leopoldina • Emil-Abderhalden-Str</dc:title>
  <dc:creator>Gross, Manfred</dc:creator>
  <cp:lastModifiedBy>Michal Černý</cp:lastModifiedBy>
  <cp:revision>10</cp:revision>
  <dcterms:created xsi:type="dcterms:W3CDTF">2015-03-02T11:00:00Z</dcterms:created>
  <dcterms:modified xsi:type="dcterms:W3CDTF">2015-03-02T20:24:00Z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UK 1.LF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